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FB" w:rsidRDefault="00584CFB" w:rsidP="00584CFB">
      <w:pPr>
        <w:rPr>
          <w:rFonts w:ascii="Times New Roman" w:hAnsi="Times New Roman"/>
          <w:b/>
          <w:sz w:val="26"/>
          <w:szCs w:val="26"/>
          <w:lang w:val="en-US"/>
        </w:rPr>
      </w:pPr>
    </w:p>
    <w:p w:rsidR="00584CFB" w:rsidRPr="00E36A0A" w:rsidRDefault="00584CFB" w:rsidP="00584CFB">
      <w:pPr>
        <w:rPr>
          <w:rFonts w:ascii="Times New Roman" w:hAnsi="Times New Roman"/>
          <w:b/>
          <w:sz w:val="26"/>
          <w:szCs w:val="26"/>
          <w:lang w:val="en-US"/>
        </w:rPr>
      </w:pPr>
      <w:r w:rsidRPr="00E36A0A">
        <w:rPr>
          <w:rFonts w:ascii="Times New Roman" w:hAnsi="Times New Roman"/>
          <w:b/>
          <w:sz w:val="26"/>
          <w:szCs w:val="26"/>
          <w:lang w:val="en-US"/>
        </w:rPr>
        <w:t>DOI:</w:t>
      </w:r>
      <w:r w:rsidRPr="00E36A0A">
        <w:rPr>
          <w:rFonts w:ascii="Times New Roman" w:hAnsi="Times New Roman"/>
          <w:sz w:val="26"/>
          <w:szCs w:val="26"/>
          <w:lang w:val="en-US"/>
        </w:rPr>
        <w:t xml:space="preserve"> </w:t>
      </w:r>
      <w:hyperlink r:id="rId8" w:history="1"/>
      <w:r w:rsidRPr="00E36A0A">
        <w:rPr>
          <w:rFonts w:ascii="Times New Roman" w:hAnsi="Times New Roman"/>
          <w:sz w:val="26"/>
          <w:szCs w:val="26"/>
          <w:lang w:val="en-US"/>
        </w:rPr>
        <w:t xml:space="preserve"> </w:t>
      </w:r>
    </w:p>
    <w:p w:rsidR="00584CFB" w:rsidRPr="00F00421" w:rsidRDefault="00584CFB" w:rsidP="00584CFB">
      <w:pPr>
        <w:rPr>
          <w:rFonts w:ascii="Times New Roman" w:hAnsi="Times New Roman"/>
          <w:b/>
          <w:color w:val="000000"/>
          <w:sz w:val="26"/>
          <w:szCs w:val="26"/>
          <w:lang w:val="uk-UA"/>
        </w:rPr>
      </w:pPr>
      <w:r w:rsidRPr="00F00421">
        <w:rPr>
          <w:rFonts w:ascii="Times New Roman" w:hAnsi="Times New Roman"/>
          <w:b/>
          <w:color w:val="000000"/>
          <w:sz w:val="26"/>
          <w:szCs w:val="26"/>
          <w:lang w:val="uk-UA"/>
        </w:rPr>
        <w:t xml:space="preserve">УДК </w:t>
      </w:r>
      <w:r w:rsidRPr="00F00421">
        <w:rPr>
          <w:rFonts w:ascii="Times New Roman" w:hAnsi="Times New Roman"/>
          <w:color w:val="000000"/>
          <w:sz w:val="26"/>
          <w:szCs w:val="26"/>
          <w:lang w:val="uk-UA"/>
        </w:rPr>
        <w:t>657.1</w:t>
      </w:r>
    </w:p>
    <w:p w:rsidR="00584CFB" w:rsidRPr="00F00421" w:rsidRDefault="00584CFB" w:rsidP="00584CFB">
      <w:pPr>
        <w:jc w:val="center"/>
        <w:rPr>
          <w:rFonts w:ascii="Times New Roman" w:eastAsia="Times New Roman" w:hAnsi="Times New Roman"/>
          <w:b/>
          <w:iCs/>
          <w:lang w:val="uk-UA" w:eastAsia="uk-UA"/>
        </w:rPr>
      </w:pPr>
    </w:p>
    <w:p w:rsidR="00584CFB" w:rsidRPr="00F00421" w:rsidRDefault="00584CFB" w:rsidP="00584CFB">
      <w:pPr>
        <w:jc w:val="center"/>
        <w:rPr>
          <w:rFonts w:ascii="Times New Roman" w:eastAsia="Times New Roman" w:hAnsi="Times New Roman"/>
          <w:color w:val="212121"/>
          <w:lang w:eastAsia="uk-UA"/>
        </w:rPr>
      </w:pPr>
      <w:r w:rsidRPr="00584CFB">
        <w:rPr>
          <w:rFonts w:ascii="Times New Roman" w:eastAsia="Times New Roman" w:hAnsi="Times New Roman"/>
          <w:b/>
          <w:color w:val="002060"/>
          <w:sz w:val="26"/>
          <w:szCs w:val="26"/>
          <w:lang w:val="uk-UA" w:eastAsia="ru-RU"/>
          <w14:shadow w14:blurRad="50800" w14:dist="38100" w14:dir="2700000" w14:sx="100000" w14:sy="100000" w14:kx="0" w14:ky="0" w14:algn="tl">
            <w14:srgbClr w14:val="000000">
              <w14:alpha w14:val="60000"/>
            </w14:srgbClr>
          </w14:shadow>
        </w:rPr>
        <w:t xml:space="preserve">Gabriella LOSZKORIH </w:t>
      </w:r>
    </w:p>
    <w:p w:rsidR="00584CFB" w:rsidRPr="00F00421" w:rsidRDefault="00584CFB" w:rsidP="00584CFB">
      <w:pPr>
        <w:jc w:val="center"/>
        <w:rPr>
          <w:rFonts w:ascii="Times New Roman" w:eastAsia="Times New Roman" w:hAnsi="Times New Roman"/>
          <w:color w:val="212121"/>
          <w:lang w:val="uk-UA" w:eastAsia="uk-UA"/>
        </w:rPr>
      </w:pPr>
      <w:r w:rsidRPr="00F00421">
        <w:rPr>
          <w:rFonts w:ascii="Times New Roman" w:eastAsia="Times New Roman" w:hAnsi="Times New Roman"/>
          <w:iCs/>
          <w:color w:val="000000"/>
          <w:lang w:eastAsia="uk-UA"/>
        </w:rPr>
        <w:t>PhD</w:t>
      </w:r>
    </w:p>
    <w:p w:rsidR="00584CFB" w:rsidRPr="00F00421" w:rsidRDefault="00584CFB" w:rsidP="00584CFB">
      <w:pPr>
        <w:jc w:val="center"/>
        <w:rPr>
          <w:rFonts w:ascii="Times New Roman" w:eastAsia="Times New Roman" w:hAnsi="Times New Roman"/>
          <w:color w:val="212121"/>
          <w:lang w:val="uk-UA" w:eastAsia="uk-UA"/>
        </w:rPr>
      </w:pPr>
      <w:r w:rsidRPr="00F00421">
        <w:rPr>
          <w:rFonts w:ascii="Times New Roman" w:eastAsia="Times New Roman" w:hAnsi="Times New Roman"/>
          <w:iCs/>
          <w:color w:val="000000"/>
          <w:lang w:val="uk-UA" w:eastAsia="uk-UA"/>
        </w:rPr>
        <w:t>Számvitel és Auditálás Tanszék vezető-helyettes,</w:t>
      </w:r>
    </w:p>
    <w:p w:rsidR="00584CFB" w:rsidRPr="00F00421" w:rsidRDefault="00584CFB" w:rsidP="00584CFB">
      <w:pPr>
        <w:jc w:val="center"/>
        <w:rPr>
          <w:rFonts w:ascii="Times New Roman" w:eastAsia="Times New Roman" w:hAnsi="Times New Roman"/>
          <w:color w:val="212121"/>
          <w:lang w:val="uk-UA" w:eastAsia="uk-UA"/>
        </w:rPr>
      </w:pPr>
      <w:r w:rsidRPr="00F00421">
        <w:rPr>
          <w:rFonts w:ascii="Times New Roman" w:eastAsia="Times New Roman" w:hAnsi="Times New Roman"/>
          <w:iCs/>
          <w:color w:val="000000"/>
          <w:lang w:val="uk-UA" w:eastAsia="uk-UA"/>
        </w:rPr>
        <w:t>II. Rákóczi Ferenc Kárpátaljai Magyar Főiskola,</w:t>
      </w:r>
    </w:p>
    <w:p w:rsidR="00584CFB" w:rsidRPr="00F00421" w:rsidRDefault="00584CFB" w:rsidP="00584CFB">
      <w:pPr>
        <w:jc w:val="center"/>
        <w:rPr>
          <w:rFonts w:ascii="Times New Roman" w:eastAsia="Times New Roman" w:hAnsi="Times New Roman"/>
          <w:i/>
          <w:color w:val="212121"/>
          <w:lang w:val="uk-UA" w:eastAsia="uk-UA"/>
        </w:rPr>
      </w:pPr>
      <w:r w:rsidRPr="00F00421">
        <w:rPr>
          <w:rFonts w:ascii="Times New Roman" w:eastAsia="Times New Roman" w:hAnsi="Times New Roman"/>
          <w:iCs/>
          <w:color w:val="000000"/>
          <w:lang w:val="uk-UA" w:eastAsia="uk-UA"/>
        </w:rPr>
        <w:t>Beregszász, Ukrajna</w:t>
      </w:r>
    </w:p>
    <w:p w:rsidR="00584CFB" w:rsidRPr="00F00421" w:rsidRDefault="00584CFB" w:rsidP="00584CFB">
      <w:pPr>
        <w:jc w:val="center"/>
        <w:textAlignment w:val="top"/>
        <w:rPr>
          <w:rFonts w:ascii="Times New Roman" w:hAnsi="Times New Roman"/>
          <w:bCs/>
        </w:rPr>
      </w:pPr>
      <w:r w:rsidRPr="00F00421">
        <w:rPr>
          <w:rFonts w:ascii="Times New Roman" w:hAnsi="Times New Roman"/>
          <w:b/>
          <w:bCs/>
          <w:iCs/>
          <w:color w:val="242021"/>
        </w:rPr>
        <w:t>ORCID</w:t>
      </w:r>
      <w:r w:rsidRPr="00F00421">
        <w:rPr>
          <w:rFonts w:ascii="Times New Roman" w:hAnsi="Times New Roman"/>
          <w:b/>
          <w:bCs/>
          <w:iCs/>
          <w:color w:val="242021"/>
          <w:lang w:val="uk-UA"/>
        </w:rPr>
        <w:t xml:space="preserve"> </w:t>
      </w:r>
      <w:r w:rsidRPr="00F00421">
        <w:rPr>
          <w:rFonts w:ascii="Times New Roman" w:hAnsi="Times New Roman"/>
          <w:b/>
          <w:bCs/>
          <w:iCs/>
          <w:color w:val="242021"/>
        </w:rPr>
        <w:t>ID</w:t>
      </w:r>
      <w:r w:rsidRPr="00F00421">
        <w:rPr>
          <w:rFonts w:ascii="Times New Roman" w:hAnsi="Times New Roman"/>
          <w:b/>
          <w:bCs/>
          <w:iCs/>
          <w:color w:val="242021"/>
          <w:lang w:val="uk-UA"/>
        </w:rPr>
        <w:t>:</w:t>
      </w:r>
      <w:r w:rsidRPr="00F00421">
        <w:rPr>
          <w:rFonts w:ascii="Times New Roman" w:hAnsi="Times New Roman"/>
          <w:bCs/>
          <w:iCs/>
          <w:color w:val="242021"/>
          <w:lang w:val="uk-UA"/>
        </w:rPr>
        <w:t xml:space="preserve"> </w:t>
      </w:r>
      <w:r w:rsidRPr="00F00421">
        <w:rPr>
          <w:rFonts w:ascii="Times New Roman" w:hAnsi="Times New Roman"/>
          <w:bCs/>
        </w:rPr>
        <w:t>0000-0002-5402-7220</w:t>
      </w:r>
    </w:p>
    <w:p w:rsidR="00584CFB" w:rsidRPr="00F00421" w:rsidRDefault="00584CFB" w:rsidP="00584CFB">
      <w:pPr>
        <w:jc w:val="center"/>
        <w:textAlignment w:val="top"/>
        <w:rPr>
          <w:rFonts w:ascii="Times New Roman" w:hAnsi="Times New Roman"/>
          <w:b/>
          <w:bCs/>
        </w:rPr>
      </w:pPr>
      <w:r w:rsidRPr="00F00421">
        <w:rPr>
          <w:rFonts w:ascii="Times New Roman" w:hAnsi="Times New Roman"/>
          <w:b/>
          <w:bCs/>
          <w:iCs/>
          <w:color w:val="242021"/>
        </w:rPr>
        <w:t>ResearcherID</w:t>
      </w:r>
      <w:r w:rsidRPr="00F00421">
        <w:rPr>
          <w:rFonts w:ascii="Times New Roman" w:hAnsi="Times New Roman"/>
          <w:b/>
          <w:bCs/>
          <w:iCs/>
          <w:color w:val="242021"/>
          <w:lang w:val="uk-UA"/>
        </w:rPr>
        <w:t>:</w:t>
      </w:r>
      <w:r w:rsidRPr="00F00421">
        <w:rPr>
          <w:rFonts w:ascii="Times New Roman" w:hAnsi="Times New Roman"/>
          <w:bCs/>
          <w:iCs/>
          <w:color w:val="242021"/>
          <w:lang w:val="uk-UA"/>
        </w:rPr>
        <w:t xml:space="preserve"> </w:t>
      </w:r>
      <w:r w:rsidRPr="00F00421">
        <w:rPr>
          <w:rFonts w:ascii="Times New Roman" w:hAnsi="Times New Roman"/>
          <w:bCs/>
        </w:rPr>
        <w:t>ABC-4079-2020</w:t>
      </w:r>
    </w:p>
    <w:p w:rsidR="00584CFB" w:rsidRPr="00F00421" w:rsidRDefault="00584CFB" w:rsidP="00584CFB">
      <w:pPr>
        <w:jc w:val="center"/>
        <w:textAlignment w:val="top"/>
        <w:rPr>
          <w:rFonts w:ascii="Times New Roman" w:hAnsi="Times New Roman"/>
          <w:b/>
          <w:i/>
          <w:iCs/>
          <w:lang w:val="en-US"/>
        </w:rPr>
      </w:pPr>
    </w:p>
    <w:p w:rsidR="00584CFB" w:rsidRPr="00F00421" w:rsidRDefault="00584CFB" w:rsidP="00584CFB">
      <w:pPr>
        <w:jc w:val="center"/>
        <w:rPr>
          <w:rFonts w:ascii="Times New Roman" w:hAnsi="Times New Roman"/>
          <w:b/>
          <w:i/>
          <w:iCs/>
        </w:rPr>
      </w:pPr>
      <w:r w:rsidRPr="00584CFB">
        <w:rPr>
          <w:rFonts w:ascii="Times New Roman" w:eastAsia="Times New Roman" w:hAnsi="Times New Roman"/>
          <w:b/>
          <w:color w:val="002060"/>
          <w:sz w:val="26"/>
          <w:szCs w:val="26"/>
          <w:lang w:val="uk-UA" w:eastAsia="ru-RU"/>
          <w14:shadow w14:blurRad="50800" w14:dist="38100" w14:dir="2700000" w14:sx="100000" w14:sy="100000" w14:kx="0" w14:ky="0" w14:algn="tl">
            <w14:srgbClr w14:val="000000">
              <w14:alpha w14:val="60000"/>
            </w14:srgbClr>
          </w14:shadow>
        </w:rPr>
        <w:t xml:space="preserve">Oxána PÉRCSI </w:t>
      </w:r>
    </w:p>
    <w:p w:rsidR="00584CFB" w:rsidRPr="00F00421" w:rsidRDefault="00584CFB" w:rsidP="00584CFB">
      <w:pPr>
        <w:tabs>
          <w:tab w:val="left" w:pos="7947"/>
        </w:tabs>
        <w:jc w:val="center"/>
        <w:rPr>
          <w:rFonts w:ascii="Times New Roman" w:hAnsi="Times New Roman"/>
          <w:iCs/>
        </w:rPr>
      </w:pPr>
      <w:r w:rsidRPr="00F00421">
        <w:rPr>
          <w:rFonts w:ascii="Times New Roman" w:hAnsi="Times New Roman"/>
          <w:iCs/>
        </w:rPr>
        <w:t>Számvitel és adóügy szakbizottság vezetője,</w:t>
      </w:r>
    </w:p>
    <w:p w:rsidR="00584CFB" w:rsidRPr="00F00421" w:rsidRDefault="00584CFB" w:rsidP="00584CFB">
      <w:pPr>
        <w:tabs>
          <w:tab w:val="left" w:pos="7947"/>
        </w:tabs>
        <w:jc w:val="center"/>
        <w:rPr>
          <w:rFonts w:ascii="Times New Roman" w:hAnsi="Times New Roman"/>
          <w:iCs/>
        </w:rPr>
      </w:pPr>
      <w:r w:rsidRPr="00F00421">
        <w:rPr>
          <w:rFonts w:ascii="Times New Roman" w:hAnsi="Times New Roman"/>
          <w:iCs/>
        </w:rPr>
        <w:t>II. Rákóczi Ferenc Kárpátaljai Magyar Főiskola Szakgimnáziuma,</w:t>
      </w:r>
    </w:p>
    <w:p w:rsidR="00584CFB" w:rsidRPr="00F00421" w:rsidRDefault="00584CFB" w:rsidP="00584CFB">
      <w:pPr>
        <w:jc w:val="center"/>
        <w:rPr>
          <w:rFonts w:ascii="Times New Roman" w:hAnsi="Times New Roman"/>
          <w:iCs/>
          <w:lang w:val="uk-UA"/>
        </w:rPr>
      </w:pPr>
      <w:r w:rsidRPr="00F00421">
        <w:rPr>
          <w:rFonts w:ascii="Times New Roman" w:hAnsi="Times New Roman"/>
          <w:iCs/>
          <w:lang w:val="uk-UA"/>
        </w:rPr>
        <w:t>Beregszász, Ukrajna</w:t>
      </w:r>
    </w:p>
    <w:p w:rsidR="00584CFB" w:rsidRPr="00F00421" w:rsidRDefault="00584CFB" w:rsidP="00584CFB">
      <w:pPr>
        <w:jc w:val="center"/>
        <w:rPr>
          <w:rFonts w:ascii="Times New Roman" w:hAnsi="Times New Roman"/>
          <w:b/>
          <w:iCs/>
          <w:lang w:val="uk-UA"/>
        </w:rPr>
      </w:pPr>
      <w:r w:rsidRPr="00F00421">
        <w:rPr>
          <w:rFonts w:ascii="Times New Roman" w:hAnsi="Times New Roman"/>
          <w:b/>
          <w:bCs/>
          <w:iCs/>
          <w:color w:val="242021"/>
        </w:rPr>
        <w:t>ORCID</w:t>
      </w:r>
      <w:r w:rsidRPr="00F00421">
        <w:rPr>
          <w:rFonts w:ascii="Times New Roman" w:hAnsi="Times New Roman"/>
          <w:b/>
          <w:bCs/>
          <w:iCs/>
          <w:color w:val="242021"/>
          <w:lang w:val="uk-UA"/>
        </w:rPr>
        <w:t xml:space="preserve"> </w:t>
      </w:r>
      <w:r w:rsidRPr="00F00421">
        <w:rPr>
          <w:rFonts w:ascii="Times New Roman" w:hAnsi="Times New Roman"/>
          <w:b/>
          <w:bCs/>
          <w:iCs/>
          <w:color w:val="242021"/>
        </w:rPr>
        <w:t>ID</w:t>
      </w:r>
      <w:r w:rsidRPr="00F00421">
        <w:rPr>
          <w:rFonts w:ascii="Times New Roman" w:hAnsi="Times New Roman"/>
          <w:b/>
          <w:bCs/>
          <w:iCs/>
          <w:color w:val="242021"/>
          <w:lang w:val="uk-UA"/>
        </w:rPr>
        <w:t>:</w:t>
      </w:r>
      <w:r w:rsidRPr="00F00421">
        <w:rPr>
          <w:rFonts w:ascii="Times New Roman" w:hAnsi="Times New Roman"/>
          <w:bCs/>
          <w:iCs/>
          <w:color w:val="242021"/>
          <w:lang w:val="uk-UA"/>
        </w:rPr>
        <w:t xml:space="preserve"> </w:t>
      </w:r>
      <w:r w:rsidRPr="00F00421">
        <w:rPr>
          <w:rFonts w:ascii="Times New Roman" w:hAnsi="Times New Roman"/>
          <w:bCs/>
        </w:rPr>
        <w:t>0000-0003-4514-721X</w:t>
      </w:r>
    </w:p>
    <w:p w:rsidR="00584CFB" w:rsidRPr="00F00421" w:rsidRDefault="00584CFB" w:rsidP="00584CFB">
      <w:pPr>
        <w:rPr>
          <w:rFonts w:ascii="Times New Roman" w:hAnsi="Times New Roman"/>
          <w:b/>
          <w:iCs/>
          <w:lang w:val="uk-UA"/>
        </w:rPr>
      </w:pPr>
    </w:p>
    <w:p w:rsidR="00584CFB" w:rsidRPr="00F00421" w:rsidRDefault="00584CFB" w:rsidP="00584CFB">
      <w:pPr>
        <w:jc w:val="center"/>
        <w:rPr>
          <w:rFonts w:ascii="Times New Roman" w:hAnsi="Times New Roman"/>
          <w:b/>
          <w:iCs/>
          <w:lang w:val="uk-UA"/>
        </w:rPr>
      </w:pPr>
      <w:r w:rsidRPr="00584CFB">
        <w:rPr>
          <w:rFonts w:ascii="Times New Roman" w:eastAsia="Times New Roman" w:hAnsi="Times New Roman"/>
          <w:b/>
          <w:color w:val="002060"/>
          <w:sz w:val="26"/>
          <w:szCs w:val="26"/>
          <w:lang w:val="uk-UA" w:eastAsia="ru-RU"/>
          <w14:shadow w14:blurRad="50800" w14:dist="38100" w14:dir="2700000" w14:sx="100000" w14:sy="100000" w14:kx="0" w14:ky="0" w14:algn="tl">
            <w14:srgbClr w14:val="000000">
              <w14:alpha w14:val="60000"/>
            </w14:srgbClr>
          </w14:shadow>
        </w:rPr>
        <w:t>AZ ADÓZÁS JELLEMZŐI AZ IT-IPARBAN: KÁRPÁTALJAI REGIONÁLIS SZEMPONTOK</w:t>
      </w:r>
    </w:p>
    <w:p w:rsidR="00F308E9" w:rsidRPr="00F00421" w:rsidRDefault="00F308E9" w:rsidP="00F308E9">
      <w:pPr>
        <w:jc w:val="both"/>
        <w:rPr>
          <w:rFonts w:ascii="Times New Roman" w:hAnsi="Times New Roman"/>
          <w:i/>
          <w:iCs/>
        </w:rPr>
      </w:pPr>
      <w:r w:rsidRPr="00F00421">
        <w:rPr>
          <w:rFonts w:ascii="Times New Roman" w:hAnsi="Times New Roman"/>
          <w:b/>
          <w:bCs/>
          <w:i/>
          <w:iCs/>
        </w:rPr>
        <w:t>Absztrakt.</w:t>
      </w:r>
      <w:r w:rsidRPr="00F00421">
        <w:rPr>
          <w:rStyle w:val="Lbjegyzet-hivatkozs"/>
          <w:rFonts w:ascii="Times New Roman" w:hAnsi="Times New Roman"/>
          <w:b/>
          <w:bCs/>
          <w:i/>
          <w:iCs/>
          <w:color w:val="FFFFFF"/>
        </w:rPr>
        <w:footnoteReference w:id="1"/>
      </w:r>
      <w:r w:rsidRPr="00F00421">
        <w:rPr>
          <w:rFonts w:ascii="Times New Roman" w:hAnsi="Times New Roman"/>
          <w:i/>
          <w:iCs/>
        </w:rPr>
        <w:t xml:space="preserve"> A cikk relevanciáját az IT üzletág pozitív növekedési mutatói indokolják.</w:t>
      </w:r>
      <w:r w:rsidRPr="00F00421">
        <w:rPr>
          <w:rFonts w:ascii="Times New Roman" w:hAnsi="Times New Roman"/>
          <w:i/>
          <w:lang w:val="uk-UA"/>
        </w:rPr>
        <w:t xml:space="preserve"> </w:t>
      </w:r>
      <w:r w:rsidRPr="00F00421">
        <w:rPr>
          <w:rFonts w:ascii="Times New Roman" w:hAnsi="Times New Roman"/>
          <w:i/>
          <w:iCs/>
        </w:rPr>
        <w:t>A gazdaság digitalizálásának államilag elfogadott vektora kedvező feltételeket teremt az IT entitások működéséhez.</w:t>
      </w:r>
      <w:r w:rsidRPr="00F00421">
        <w:rPr>
          <w:rFonts w:ascii="Times New Roman" w:hAnsi="Times New Roman"/>
          <w:lang w:val="uk-UA"/>
        </w:rPr>
        <w:t xml:space="preserve"> </w:t>
      </w:r>
      <w:r w:rsidRPr="00F00421">
        <w:rPr>
          <w:rFonts w:ascii="Times New Roman" w:hAnsi="Times New Roman"/>
          <w:i/>
          <w:iCs/>
        </w:rPr>
        <w:t>A kárpátaljai régió Ukrajna IT üzletfejlesztésének egyik kiemelt területe, amelyet a nemrég létrehozott Nemzeti Informatikai Klaszter is jellemez. Jelenleg az ukrán digitális fejlesztési stratégia elfogadása folytán időszerű beszélni az adózás területén kialakuló változásokról, jellegzetességekről. A cikkben megállapítást nyert, hogy az informatikai vállalkozások számviteli tevékenységük sajátosságainak tanulmányozásához és a megfelelő szervezettségi szint biztosításához figyelembe kell venni azok típusait az adózás sajátosságainak megfelelően (általános és egyszerűsített adózási rendszer, „Diia Siti ” rezidensei).</w:t>
      </w:r>
      <w:r w:rsidRPr="00F00421">
        <w:rPr>
          <w:rFonts w:ascii="Times New Roman" w:hAnsi="Times New Roman"/>
          <w:lang w:val="uk-UA"/>
        </w:rPr>
        <w:t xml:space="preserve"> </w:t>
      </w:r>
      <w:r w:rsidRPr="00F00421">
        <w:rPr>
          <w:rFonts w:ascii="Times New Roman" w:hAnsi="Times New Roman"/>
          <w:i/>
          <w:iCs/>
        </w:rPr>
        <w:t>Az „Diia Siti” egy adózási rendszer, amely különös feltételeket határoz meg az IT-ipar számára, részletezi annak főbb követelményeit és megfelelési kritériumait. A cikk elemzi az informatikai üzletágban bejegyzett jogi személyek számát az egyes NACE-kódok alatt, hogy meghatározza azok kárpátaljai viszonylatában legnépszerűbb típusait,</w:t>
      </w:r>
      <w:r w:rsidRPr="00F00421">
        <w:rPr>
          <w:rFonts w:ascii="Times New Roman" w:hAnsi="Times New Roman"/>
          <w:i/>
          <w:iCs/>
          <w:lang w:val="uk-UA"/>
        </w:rPr>
        <w:t xml:space="preserve"> </w:t>
      </w:r>
      <w:r w:rsidRPr="00F00421">
        <w:rPr>
          <w:rFonts w:ascii="Times New Roman" w:hAnsi="Times New Roman"/>
          <w:i/>
          <w:iCs/>
        </w:rPr>
        <w:t>valamint az IT-vállalkozások legfontosabb problémáit azonosítja.</w:t>
      </w:r>
      <w:r w:rsidRPr="00F00421">
        <w:rPr>
          <w:rFonts w:ascii="Times New Roman" w:hAnsi="Times New Roman"/>
          <w:lang w:val="uk-UA"/>
        </w:rPr>
        <w:t xml:space="preserve"> </w:t>
      </w:r>
      <w:r w:rsidRPr="00F00421">
        <w:rPr>
          <w:rFonts w:ascii="Times New Roman" w:hAnsi="Times New Roman"/>
          <w:i/>
          <w:iCs/>
        </w:rPr>
        <w:t>A tanulmány ismerteti az "Diia Siti " vállalkozásaiban dolgozó személyek és munkavállalók adóztatásának jellemzőit is, különös tekintettel a „gig-szerződéssel” dolgozókra.</w:t>
      </w:r>
    </w:p>
    <w:p w:rsidR="00F308E9" w:rsidRPr="00F00421" w:rsidRDefault="00F308E9" w:rsidP="00F308E9">
      <w:pPr>
        <w:jc w:val="both"/>
        <w:rPr>
          <w:rFonts w:ascii="Times New Roman" w:hAnsi="Times New Roman"/>
          <w:i/>
          <w:color w:val="000000"/>
          <w:lang w:val="uk-UA"/>
        </w:rPr>
      </w:pPr>
      <w:r w:rsidRPr="00F00421">
        <w:rPr>
          <w:rFonts w:ascii="Times New Roman" w:hAnsi="Times New Roman"/>
          <w:b/>
          <w:i/>
          <w:color w:val="000000"/>
          <w:lang w:val="uk-UA"/>
        </w:rPr>
        <w:t>Kulcsszavak:</w:t>
      </w:r>
      <w:r w:rsidRPr="00F00421">
        <w:rPr>
          <w:rFonts w:ascii="Times New Roman" w:hAnsi="Times New Roman"/>
          <w:i/>
          <w:color w:val="000000"/>
          <w:lang w:val="uk-UA"/>
        </w:rPr>
        <w:t xml:space="preserve"> </w:t>
      </w:r>
      <w:r w:rsidRPr="00F00421">
        <w:rPr>
          <w:rFonts w:ascii="Times New Roman" w:hAnsi="Times New Roman"/>
          <w:i/>
          <w:color w:val="000000"/>
        </w:rPr>
        <w:t>IT vállalkozás</w:t>
      </w:r>
      <w:r w:rsidRPr="00F00421">
        <w:rPr>
          <w:rFonts w:ascii="Times New Roman" w:hAnsi="Times New Roman"/>
          <w:i/>
          <w:color w:val="000000"/>
          <w:lang w:val="uk-UA"/>
        </w:rPr>
        <w:t xml:space="preserve">, </w:t>
      </w:r>
      <w:r w:rsidRPr="00F00421">
        <w:rPr>
          <w:rFonts w:ascii="Times New Roman" w:hAnsi="Times New Roman"/>
          <w:i/>
          <w:color w:val="000000"/>
        </w:rPr>
        <w:t>üzlet</w:t>
      </w:r>
      <w:r w:rsidRPr="00F00421">
        <w:rPr>
          <w:rFonts w:ascii="Times New Roman" w:hAnsi="Times New Roman"/>
          <w:i/>
          <w:color w:val="000000"/>
          <w:lang w:val="uk-UA"/>
        </w:rPr>
        <w:t xml:space="preserve">, adózás, </w:t>
      </w:r>
      <w:r w:rsidRPr="00F00421">
        <w:rPr>
          <w:rFonts w:ascii="Times New Roman" w:hAnsi="Times New Roman"/>
          <w:i/>
          <w:color w:val="000000"/>
        </w:rPr>
        <w:t>számvitel</w:t>
      </w:r>
      <w:r w:rsidRPr="00F00421">
        <w:rPr>
          <w:rFonts w:ascii="Times New Roman" w:hAnsi="Times New Roman"/>
          <w:i/>
          <w:color w:val="000000"/>
          <w:lang w:val="uk-UA"/>
        </w:rPr>
        <w:t>, klaszter, Diia Siti , gig-szerződés, bevétel.</w:t>
      </w:r>
    </w:p>
    <w:p w:rsidR="00584CFB" w:rsidRPr="00F00421" w:rsidRDefault="00584CFB" w:rsidP="00584CFB">
      <w:pPr>
        <w:jc w:val="both"/>
        <w:rPr>
          <w:rFonts w:ascii="Times New Roman" w:hAnsi="Times New Roman"/>
          <w:b/>
          <w:bCs/>
          <w:i/>
          <w:iCs/>
          <w:lang w:val="uk-UA"/>
        </w:rPr>
      </w:pPr>
    </w:p>
    <w:p w:rsidR="00584CFB" w:rsidRPr="00F00421" w:rsidRDefault="00584CFB" w:rsidP="00584CFB">
      <w:pPr>
        <w:rPr>
          <w:rFonts w:ascii="Times New Roman" w:hAnsi="Times New Roman"/>
          <w:lang w:val="uk-UA"/>
        </w:rPr>
      </w:pPr>
      <w:r w:rsidRPr="00F00421">
        <w:rPr>
          <w:rFonts w:ascii="Times New Roman" w:hAnsi="Times New Roman"/>
          <w:b/>
          <w:lang w:val="en-US"/>
        </w:rPr>
        <w:t>J</w:t>
      </w:r>
      <w:r w:rsidRPr="00F00421">
        <w:rPr>
          <w:rFonts w:ascii="Times New Roman" w:hAnsi="Times New Roman"/>
          <w:b/>
          <w:lang w:val="uk-UA"/>
        </w:rPr>
        <w:t>EL Classification:</w:t>
      </w:r>
      <w:r w:rsidRPr="00F00421">
        <w:rPr>
          <w:rFonts w:ascii="Times New Roman" w:hAnsi="Times New Roman"/>
          <w:lang w:val="uk-UA"/>
        </w:rPr>
        <w:t xml:space="preserve"> Н25</w:t>
      </w:r>
      <w:r w:rsidRPr="00F00421">
        <w:rPr>
          <w:rFonts w:ascii="Times New Roman" w:hAnsi="Times New Roman"/>
          <w:lang w:val="en-US"/>
        </w:rPr>
        <w:t xml:space="preserve">, </w:t>
      </w:r>
      <w:r w:rsidRPr="00F00421">
        <w:rPr>
          <w:rFonts w:ascii="Times New Roman" w:hAnsi="Times New Roman"/>
          <w:lang w:val="uk-UA"/>
        </w:rPr>
        <w:t>О18.</w:t>
      </w:r>
    </w:p>
    <w:p w:rsidR="00584CFB" w:rsidRPr="00F00421" w:rsidRDefault="00584CFB" w:rsidP="00584CFB">
      <w:pPr>
        <w:jc w:val="both"/>
        <w:rPr>
          <w:rFonts w:ascii="Times New Roman" w:hAnsi="Times New Roman"/>
          <w:b/>
          <w:bCs/>
          <w:i/>
          <w:iCs/>
          <w:lang w:val="uk-UA"/>
        </w:rPr>
      </w:pPr>
    </w:p>
    <w:p w:rsidR="00584CFB" w:rsidRPr="00F00421" w:rsidRDefault="00584CFB" w:rsidP="00584CFB">
      <w:pPr>
        <w:jc w:val="center"/>
        <w:rPr>
          <w:rFonts w:ascii="Times New Roman" w:hAnsi="Times New Roman"/>
          <w:i/>
          <w:color w:val="000000"/>
        </w:rPr>
      </w:pPr>
    </w:p>
    <w:p w:rsidR="00584CFB" w:rsidRPr="00F00421" w:rsidRDefault="00584CFB" w:rsidP="00584CFB">
      <w:pPr>
        <w:jc w:val="both"/>
        <w:rPr>
          <w:rFonts w:ascii="Times New Roman" w:hAnsi="Times New Roman"/>
          <w:i/>
          <w:color w:val="000000"/>
          <w:lang w:val="uk-UA"/>
        </w:rPr>
      </w:pPr>
      <w:r w:rsidRPr="00F00421">
        <w:rPr>
          <w:rFonts w:ascii="Times New Roman" w:hAnsi="Times New Roman"/>
          <w:b/>
          <w:i/>
          <w:color w:val="000000"/>
          <w:lang w:val="en-US"/>
        </w:rPr>
        <w:t>Abstract.</w:t>
      </w:r>
      <w:r w:rsidRPr="00F00421">
        <w:rPr>
          <w:rFonts w:ascii="Times New Roman" w:hAnsi="Times New Roman"/>
          <w:i/>
          <w:color w:val="000000"/>
          <w:lang w:val="en-US"/>
        </w:rPr>
        <w:t xml:space="preserve"> </w:t>
      </w:r>
      <w:r w:rsidRPr="00F00421">
        <w:rPr>
          <w:rFonts w:ascii="Times New Roman" w:hAnsi="Times New Roman"/>
          <w:i/>
          <w:color w:val="000000"/>
          <w:lang w:val="uk-UA"/>
        </w:rPr>
        <w:t xml:space="preserve">The relevance of the article is justified by the positive growing indicators of IT business. The dynamic development of the IT sector in Ukraine is an important factor that attracts attention to Ukrainian IT companies both within the country, in the region and abroad. In addition, Ukraine tops the list of countries developing offshore software and is gradually becoming a true global IT hub. The state-adopted vector of development aimed at digitalization of the economy creates favorable conditions for the functioning of IT entities. Transcarpathian region is one of the priority areas of IT business development in Ukraine, characterized by the creation of the National IT Cluster. Tax conditions of IT companies are a set of issues that are fundamentally important for the development of the Ukrainian IT sector. Currently, changes in the tax sphere caused by the adoption of Ukraine's digital development strategy are relevant. It is established that in order to reveal the features and ensure the proper level of organization of accounting activities of IT companies, it is necessary to take into account their types in accordance with the peculiarities of taxation (general and simplified system of taxation, residents of </w:t>
      </w:r>
      <w:r w:rsidRPr="00F00421">
        <w:rPr>
          <w:rFonts w:ascii="Times New Roman" w:hAnsi="Times New Roman"/>
          <w:i/>
          <w:color w:val="000000"/>
          <w:lang w:val="uk-UA"/>
        </w:rPr>
        <w:lastRenderedPageBreak/>
        <w:t xml:space="preserve">"Diia Siti "). The special tax regime "Diia Siti " has been studied, which sets special conditions for the IT industry, in particular detailing its basic requirements and compliance criteria. The article analyzes the number of legal entities registered in the IT business, according to individual NACE codes in order to determine their most popular species in the Transcarpathian region, in particular, the main problems of IT companies are identified. The peculiarities of taxation of natural persons-employees of the enterprises of "Diia Siti ", in particular those who work under </w:t>
      </w:r>
      <w:r w:rsidRPr="00F00421">
        <w:rPr>
          <w:rFonts w:ascii="Times New Roman" w:hAnsi="Times New Roman"/>
          <w:i/>
          <w:color w:val="000000"/>
        </w:rPr>
        <w:t>gig-</w:t>
      </w:r>
      <w:r w:rsidRPr="00F00421">
        <w:rPr>
          <w:rFonts w:ascii="Times New Roman" w:hAnsi="Times New Roman"/>
          <w:i/>
          <w:color w:val="000000"/>
          <w:lang w:val="uk-UA"/>
        </w:rPr>
        <w:t>contracts, are also described.</w:t>
      </w:r>
    </w:p>
    <w:p w:rsidR="00584CFB" w:rsidRPr="00F00421" w:rsidRDefault="00584CFB" w:rsidP="00584CFB">
      <w:pPr>
        <w:jc w:val="both"/>
        <w:rPr>
          <w:rFonts w:ascii="Times New Roman" w:hAnsi="Times New Roman"/>
          <w:i/>
          <w:color w:val="000000"/>
          <w:lang w:val="en-US"/>
        </w:rPr>
      </w:pPr>
      <w:r w:rsidRPr="00F00421">
        <w:rPr>
          <w:rFonts w:ascii="Times New Roman" w:hAnsi="Times New Roman"/>
          <w:b/>
          <w:i/>
          <w:color w:val="000000"/>
          <w:lang w:val="uk-UA"/>
        </w:rPr>
        <w:t>Keywords:</w:t>
      </w:r>
      <w:r w:rsidRPr="00F00421">
        <w:rPr>
          <w:rFonts w:ascii="Times New Roman" w:hAnsi="Times New Roman"/>
          <w:i/>
          <w:color w:val="000000"/>
          <w:lang w:val="uk-UA"/>
        </w:rPr>
        <w:t xml:space="preserve"> IT enterprise, business, taxation, accounting, cluster, Diia Siti , gig contract, income.</w:t>
      </w:r>
      <w:r w:rsidRPr="00F00421">
        <w:rPr>
          <w:rStyle w:val="Lbjegyzet-hivatkozs"/>
          <w:rFonts w:ascii="Times New Roman" w:hAnsi="Times New Roman"/>
          <w:i/>
          <w:color w:val="FFFFFF"/>
          <w:lang w:val="uk-UA"/>
        </w:rPr>
        <w:footnoteReference w:id="2"/>
      </w:r>
    </w:p>
    <w:p w:rsidR="00584CFB" w:rsidRPr="00F00421" w:rsidRDefault="00584CFB" w:rsidP="00584CFB">
      <w:pPr>
        <w:ind w:firstLine="425"/>
        <w:jc w:val="both"/>
        <w:rPr>
          <w:rFonts w:ascii="Times New Roman" w:hAnsi="Times New Roman"/>
          <w:b/>
          <w:iCs/>
          <w:sz w:val="26"/>
          <w:szCs w:val="26"/>
          <w:lang w:val="uk-UA"/>
        </w:rPr>
      </w:pPr>
    </w:p>
    <w:p w:rsidR="00584CFB" w:rsidRPr="00F00421" w:rsidRDefault="00584CFB" w:rsidP="00F308E9">
      <w:pPr>
        <w:ind w:firstLine="425"/>
        <w:jc w:val="both"/>
        <w:rPr>
          <w:rFonts w:ascii="Times New Roman" w:hAnsi="Times New Roman"/>
          <w:color w:val="0D0D0D"/>
          <w:sz w:val="26"/>
          <w:szCs w:val="26"/>
          <w:lang w:val="uk-UA"/>
        </w:rPr>
      </w:pPr>
      <w:r w:rsidRPr="00F00421">
        <w:rPr>
          <w:rFonts w:ascii="Times New Roman" w:hAnsi="Times New Roman"/>
          <w:b/>
          <w:iCs/>
          <w:sz w:val="26"/>
          <w:szCs w:val="26"/>
          <w:lang w:val="uk-UA"/>
        </w:rPr>
        <w:t xml:space="preserve">A probléma általános megfogalmazása. </w:t>
      </w:r>
      <w:r w:rsidR="00F308E9">
        <w:rPr>
          <w:rFonts w:ascii="Times New Roman" w:hAnsi="Times New Roman"/>
          <w:sz w:val="26"/>
          <w:szCs w:val="26"/>
          <w:lang w:val="uk-UA"/>
        </w:rPr>
        <w:t>..</w:t>
      </w:r>
      <w:r w:rsidRPr="00F00421">
        <w:rPr>
          <w:rFonts w:ascii="Times New Roman" w:hAnsi="Times New Roman"/>
          <w:color w:val="0D0D0D"/>
          <w:sz w:val="26"/>
          <w:szCs w:val="26"/>
          <w:lang w:val="uk-UA"/>
        </w:rPr>
        <w:t>.</w:t>
      </w:r>
    </w:p>
    <w:p w:rsidR="00584CFB" w:rsidRPr="00F00421" w:rsidRDefault="00584CFB" w:rsidP="00F308E9">
      <w:pPr>
        <w:ind w:firstLine="425"/>
        <w:jc w:val="both"/>
        <w:rPr>
          <w:rFonts w:ascii="Times New Roman" w:hAnsi="Times New Roman"/>
          <w:color w:val="0D0D0D"/>
          <w:sz w:val="26"/>
          <w:szCs w:val="26"/>
          <w:lang w:val="uk-UA"/>
        </w:rPr>
      </w:pPr>
      <w:r w:rsidRPr="00F00421">
        <w:rPr>
          <w:rFonts w:ascii="Times New Roman" w:hAnsi="Times New Roman"/>
          <w:b/>
          <w:sz w:val="26"/>
          <w:szCs w:val="26"/>
        </w:rPr>
        <w:t>L</w:t>
      </w:r>
      <w:r w:rsidRPr="00F00421">
        <w:rPr>
          <w:rFonts w:ascii="Times New Roman" w:hAnsi="Times New Roman"/>
          <w:b/>
          <w:sz w:val="26"/>
          <w:szCs w:val="26"/>
          <w:lang w:val="uk-UA"/>
        </w:rPr>
        <w:t>egújabb kutatások és publikációk elemzése.</w:t>
      </w:r>
      <w:r w:rsidRPr="00F00421">
        <w:rPr>
          <w:rFonts w:ascii="Times New Roman" w:hAnsi="Times New Roman"/>
          <w:sz w:val="26"/>
          <w:szCs w:val="26"/>
          <w:lang w:val="uk-UA"/>
        </w:rPr>
        <w:t xml:space="preserve"> </w:t>
      </w:r>
      <w:r w:rsidR="00F308E9">
        <w:rPr>
          <w:rFonts w:ascii="Times New Roman" w:hAnsi="Times New Roman"/>
          <w:color w:val="0D0D0D"/>
          <w:sz w:val="26"/>
          <w:szCs w:val="26"/>
          <w:lang w:val="uk-UA"/>
        </w:rPr>
        <w:t>..</w:t>
      </w:r>
      <w:r w:rsidRPr="00F00421">
        <w:rPr>
          <w:rFonts w:ascii="Times New Roman" w:hAnsi="Times New Roman"/>
          <w:color w:val="0D0D0D"/>
          <w:sz w:val="26"/>
          <w:szCs w:val="26"/>
          <w:lang w:val="uk-UA"/>
        </w:rPr>
        <w:t>.</w:t>
      </w:r>
    </w:p>
    <w:p w:rsidR="00584CFB" w:rsidRPr="00F00421" w:rsidRDefault="00584CFB" w:rsidP="00584CFB">
      <w:pPr>
        <w:ind w:firstLine="425"/>
        <w:jc w:val="both"/>
        <w:rPr>
          <w:rFonts w:ascii="Times New Roman" w:hAnsi="Times New Roman"/>
          <w:color w:val="0D0D0D"/>
          <w:sz w:val="26"/>
          <w:szCs w:val="26"/>
          <w:lang w:val="uk-UA"/>
        </w:rPr>
      </w:pPr>
      <w:r w:rsidRPr="00F00421">
        <w:rPr>
          <w:rFonts w:ascii="Times New Roman" w:hAnsi="Times New Roman"/>
          <w:b/>
          <w:color w:val="0D0D0D"/>
          <w:sz w:val="26"/>
          <w:szCs w:val="26"/>
          <w:lang w:val="uk-UA"/>
        </w:rPr>
        <w:t xml:space="preserve">A cikk céljainak megfogalmazása. </w:t>
      </w:r>
      <w:r w:rsidR="00F308E9" w:rsidRPr="00F308E9">
        <w:rPr>
          <w:rFonts w:ascii="Times New Roman" w:hAnsi="Times New Roman"/>
          <w:color w:val="0D0D0D"/>
          <w:sz w:val="26"/>
          <w:szCs w:val="26"/>
          <w:lang w:val="en-US"/>
        </w:rPr>
        <w:t>..</w:t>
      </w:r>
      <w:r w:rsidRPr="00F00421">
        <w:rPr>
          <w:rFonts w:ascii="Times New Roman" w:hAnsi="Times New Roman"/>
          <w:color w:val="0D0D0D"/>
          <w:sz w:val="26"/>
          <w:szCs w:val="26"/>
          <w:lang w:val="uk-UA"/>
        </w:rPr>
        <w:t>.</w:t>
      </w:r>
    </w:p>
    <w:p w:rsidR="00584CFB" w:rsidRPr="00F00421" w:rsidRDefault="00584CFB" w:rsidP="00F308E9">
      <w:pPr>
        <w:ind w:firstLine="425"/>
        <w:jc w:val="both"/>
        <w:rPr>
          <w:rFonts w:ascii="Times New Roman" w:eastAsia="Times New Roman" w:hAnsi="Times New Roman"/>
          <w:color w:val="000000"/>
          <w:sz w:val="26"/>
          <w:szCs w:val="26"/>
          <w:lang w:val="uk-UA" w:eastAsia="uk-UA"/>
        </w:rPr>
      </w:pPr>
      <w:r w:rsidRPr="00F00421">
        <w:rPr>
          <w:rFonts w:ascii="Times New Roman" w:hAnsi="Times New Roman"/>
          <w:b/>
          <w:sz w:val="26"/>
          <w:szCs w:val="26"/>
          <w:lang w:val="uk-UA"/>
        </w:rPr>
        <w:t>A fő kutatási anyag bemutatása.</w:t>
      </w:r>
      <w:r w:rsidRPr="00F00421">
        <w:rPr>
          <w:rFonts w:ascii="Times New Roman" w:hAnsi="Times New Roman"/>
          <w:sz w:val="26"/>
          <w:szCs w:val="26"/>
          <w:lang w:val="uk-UA"/>
        </w:rPr>
        <w:t xml:space="preserve"> </w:t>
      </w:r>
      <w:r w:rsidR="00F308E9">
        <w:rPr>
          <w:rFonts w:ascii="Times New Roman" w:hAnsi="Times New Roman"/>
          <w:sz w:val="26"/>
          <w:szCs w:val="26"/>
          <w:lang w:val="uk-UA" w:eastAsia="uk-UA"/>
        </w:rPr>
        <w:t>…</w:t>
      </w:r>
    </w:p>
    <w:p w:rsidR="00584CFB" w:rsidRPr="00F00421" w:rsidRDefault="00584CFB" w:rsidP="00584CFB">
      <w:pPr>
        <w:ind w:firstLine="425"/>
        <w:jc w:val="right"/>
        <w:rPr>
          <w:rFonts w:ascii="Times New Roman" w:eastAsia="Times New Roman" w:hAnsi="Times New Roman"/>
          <w:b/>
          <w:color w:val="000000"/>
          <w:sz w:val="26"/>
          <w:szCs w:val="26"/>
          <w:lang w:eastAsia="uk-UA"/>
        </w:rPr>
      </w:pPr>
      <w:r w:rsidRPr="00F00421">
        <w:rPr>
          <w:rFonts w:ascii="Times New Roman" w:eastAsia="Times New Roman" w:hAnsi="Times New Roman"/>
          <w:b/>
          <w:color w:val="000000"/>
          <w:sz w:val="26"/>
          <w:szCs w:val="26"/>
          <w:lang w:eastAsia="uk-UA"/>
        </w:rPr>
        <w:t>1. táblázat:</w:t>
      </w:r>
    </w:p>
    <w:tbl>
      <w:tblPr>
        <w:tblW w:w="4917"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2418"/>
        <w:gridCol w:w="5460"/>
      </w:tblGrid>
      <w:tr w:rsidR="00584CFB" w:rsidRPr="00F00421" w:rsidTr="00F308E9">
        <w:tc>
          <w:tcPr>
            <w:tcW w:w="5000" w:type="pct"/>
            <w:gridSpan w:val="3"/>
            <w:tcBorders>
              <w:top w:val="nil"/>
              <w:left w:val="nil"/>
              <w:bottom w:val="single" w:sz="4" w:space="0" w:color="auto"/>
              <w:right w:val="nil"/>
            </w:tcBorders>
            <w:shd w:val="clear" w:color="auto" w:fill="auto"/>
            <w:vAlign w:val="center"/>
          </w:tcPr>
          <w:p w:rsidR="00584CFB" w:rsidRPr="00F00421" w:rsidRDefault="00584CFB" w:rsidP="00A03AFF">
            <w:pPr>
              <w:ind w:firstLine="425"/>
              <w:jc w:val="center"/>
              <w:rPr>
                <w:rFonts w:ascii="Times New Roman" w:eastAsia="Times New Roman" w:hAnsi="Times New Roman"/>
                <w:b/>
                <w:color w:val="000000"/>
                <w:sz w:val="26"/>
                <w:szCs w:val="26"/>
                <w:lang w:eastAsia="uk-UA"/>
              </w:rPr>
            </w:pPr>
            <w:r w:rsidRPr="00F00421">
              <w:rPr>
                <w:rFonts w:ascii="Times New Roman" w:eastAsia="Times New Roman" w:hAnsi="Times New Roman"/>
                <w:b/>
                <w:color w:val="000000"/>
                <w:sz w:val="26"/>
                <w:szCs w:val="26"/>
                <w:lang w:val="uk-UA" w:eastAsia="uk-UA"/>
              </w:rPr>
              <w:t xml:space="preserve">NACE 62. csoport "Számítógépes programozás, tanácsadás és </w:t>
            </w:r>
            <w:r w:rsidRPr="00F00421">
              <w:rPr>
                <w:rFonts w:ascii="Times New Roman" w:eastAsia="Times New Roman" w:hAnsi="Times New Roman"/>
                <w:b/>
                <w:color w:val="000000"/>
                <w:sz w:val="26"/>
                <w:szCs w:val="26"/>
                <w:lang w:eastAsia="uk-UA"/>
              </w:rPr>
              <w:t xml:space="preserve">hozzá </w:t>
            </w:r>
            <w:r w:rsidRPr="00F00421">
              <w:rPr>
                <w:rFonts w:ascii="Times New Roman" w:eastAsia="Times New Roman" w:hAnsi="Times New Roman"/>
                <w:b/>
                <w:color w:val="000000"/>
                <w:sz w:val="26"/>
                <w:szCs w:val="26"/>
                <w:lang w:val="uk-UA" w:eastAsia="uk-UA"/>
              </w:rPr>
              <w:t>kapcsolódó tevékenységek"</w:t>
            </w:r>
            <w:r w:rsidRPr="00F00421">
              <w:rPr>
                <w:rFonts w:ascii="Times New Roman" w:eastAsia="Times New Roman" w:hAnsi="Times New Roman"/>
                <w:b/>
                <w:color w:val="000000"/>
                <w:sz w:val="26"/>
                <w:szCs w:val="26"/>
                <w:lang w:eastAsia="uk-UA"/>
              </w:rPr>
              <w:t xml:space="preserve"> csoportositása</w:t>
            </w:r>
          </w:p>
        </w:tc>
      </w:tr>
      <w:tr w:rsidR="00584CFB" w:rsidRPr="00F00421" w:rsidTr="00F308E9">
        <w:tc>
          <w:tcPr>
            <w:tcW w:w="585" w:type="pct"/>
            <w:tcBorders>
              <w:top w:val="single" w:sz="4" w:space="0" w:color="auto"/>
            </w:tcBorders>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b/>
                <w:bCs/>
                <w:lang w:eastAsia="uk-UA"/>
              </w:rPr>
            </w:pPr>
            <w:r w:rsidRPr="00F00421">
              <w:rPr>
                <w:rFonts w:ascii="Times New Roman" w:eastAsia="Times New Roman" w:hAnsi="Times New Roman"/>
                <w:b/>
                <w:bCs/>
                <w:lang w:eastAsia="uk-UA"/>
              </w:rPr>
              <w:t>Csoport</w:t>
            </w:r>
          </w:p>
        </w:tc>
        <w:tc>
          <w:tcPr>
            <w:tcW w:w="1355" w:type="pct"/>
            <w:tcBorders>
              <w:top w:val="single" w:sz="4" w:space="0" w:color="auto"/>
            </w:tcBorders>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b/>
                <w:bCs/>
                <w:lang w:eastAsia="uk-UA"/>
              </w:rPr>
            </w:pPr>
            <w:r w:rsidRPr="00F00421">
              <w:rPr>
                <w:rFonts w:ascii="Times New Roman" w:eastAsia="Times New Roman" w:hAnsi="Times New Roman"/>
                <w:b/>
                <w:bCs/>
                <w:lang w:eastAsia="uk-UA"/>
              </w:rPr>
              <w:t>Megnevezés</w:t>
            </w:r>
          </w:p>
        </w:tc>
        <w:tc>
          <w:tcPr>
            <w:tcW w:w="3060" w:type="pct"/>
            <w:tcBorders>
              <w:top w:val="single" w:sz="4" w:space="0" w:color="auto"/>
            </w:tcBorders>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b/>
                <w:bCs/>
                <w:lang w:eastAsia="uk-UA"/>
              </w:rPr>
            </w:pPr>
            <w:r w:rsidRPr="00F00421">
              <w:rPr>
                <w:rFonts w:ascii="Times New Roman" w:eastAsia="Times New Roman" w:hAnsi="Times New Roman"/>
                <w:b/>
                <w:bCs/>
                <w:lang w:eastAsia="uk-UA"/>
              </w:rPr>
              <w:t>Jellemzők</w:t>
            </w:r>
            <w:bookmarkStart w:id="0" w:name="_GoBack"/>
            <w:bookmarkEnd w:id="0"/>
          </w:p>
        </w:tc>
      </w:tr>
      <w:tr w:rsidR="00584CFB" w:rsidRPr="00F00421" w:rsidTr="00F308E9">
        <w:tc>
          <w:tcPr>
            <w:tcW w:w="585" w:type="pct"/>
            <w:shd w:val="clear" w:color="auto" w:fill="auto"/>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62.01</w:t>
            </w:r>
          </w:p>
        </w:tc>
        <w:tc>
          <w:tcPr>
            <w:tcW w:w="1355" w:type="pct"/>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Számítógépes programozási tevékenységek</w:t>
            </w:r>
          </w:p>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p>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p>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p>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p>
        </w:tc>
        <w:tc>
          <w:tcPr>
            <w:tcW w:w="3060" w:type="pct"/>
            <w:shd w:val="clear" w:color="auto" w:fill="auto"/>
          </w:tcPr>
          <w:p w:rsidR="00584CFB" w:rsidRPr="00F00421" w:rsidRDefault="00584CFB" w:rsidP="00A03AFF">
            <w:pPr>
              <w:tabs>
                <w:tab w:val="left" w:pos="142"/>
              </w:tabs>
              <w:autoSpaceDE w:val="0"/>
              <w:autoSpaceDN w:val="0"/>
              <w:adjustRightInd w:val="0"/>
              <w:jc w:val="both"/>
              <w:rPr>
                <w:rFonts w:ascii="Times New Roman" w:eastAsia="Times New Roman" w:hAnsi="Times New Roman"/>
                <w:lang w:val="uk-UA" w:eastAsia="uk-UA"/>
              </w:rPr>
            </w:pPr>
            <w:r w:rsidRPr="00F00421">
              <w:rPr>
                <w:rFonts w:ascii="Times New Roman" w:eastAsia="Times New Roman" w:hAnsi="Times New Roman"/>
                <w:lang w:val="uk-UA" w:eastAsia="uk-UA"/>
              </w:rPr>
              <w:t>Szoftver termékfejlesztés, módosítás, tesztelés és műszaki támogatás (rendszerszoftverek, alkalmazások, adatbázisok, weboldalak létrehozásához és végrehajtásához szükséges struktúra és tartalom fejlesztése és/vagy parancsrendszer fejlesztése; szoftverkonfiguráció, azaz meglévő szoftveralkalmazások módosítása és konfigurálása az ügyfél információs rendszerén belüli működéshez)</w:t>
            </w:r>
          </w:p>
        </w:tc>
      </w:tr>
      <w:tr w:rsidR="00584CFB" w:rsidRPr="00F00421" w:rsidTr="00F308E9">
        <w:tc>
          <w:tcPr>
            <w:tcW w:w="585" w:type="pct"/>
            <w:shd w:val="clear" w:color="auto" w:fill="auto"/>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62.02</w:t>
            </w:r>
          </w:p>
        </w:tc>
        <w:tc>
          <w:tcPr>
            <w:tcW w:w="1355" w:type="pct"/>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Tanácsadás informatizálással kapcsolatban</w:t>
            </w:r>
          </w:p>
        </w:tc>
        <w:tc>
          <w:tcPr>
            <w:tcW w:w="3060" w:type="pct"/>
            <w:shd w:val="clear" w:color="auto" w:fill="auto"/>
          </w:tcPr>
          <w:p w:rsidR="00584CFB" w:rsidRPr="00F00421" w:rsidRDefault="00584CFB" w:rsidP="00A03AFF">
            <w:pPr>
              <w:tabs>
                <w:tab w:val="left" w:pos="142"/>
              </w:tabs>
              <w:autoSpaceDE w:val="0"/>
              <w:autoSpaceDN w:val="0"/>
              <w:adjustRightInd w:val="0"/>
              <w:jc w:val="both"/>
              <w:rPr>
                <w:rFonts w:ascii="Times New Roman" w:eastAsia="Times New Roman" w:hAnsi="Times New Roman"/>
                <w:lang w:val="uk-UA" w:eastAsia="uk-UA"/>
              </w:rPr>
            </w:pPr>
            <w:r w:rsidRPr="00F00421">
              <w:rPr>
                <w:rFonts w:ascii="Times New Roman" w:eastAsia="Times New Roman" w:hAnsi="Times New Roman"/>
                <w:lang w:val="uk-UA" w:eastAsia="uk-UA"/>
              </w:rPr>
              <w:t>Hardvert, szoftvert és kommunikációs technológiákat kombináló integrált számítógépes rendszerek tervezése; ezek a szolgáltatások magukban foglalhatják e rendszerek felhasználóinak képzését</w:t>
            </w:r>
          </w:p>
        </w:tc>
      </w:tr>
      <w:tr w:rsidR="00584CFB" w:rsidRPr="00F00421" w:rsidTr="00F308E9">
        <w:tc>
          <w:tcPr>
            <w:tcW w:w="585" w:type="pct"/>
            <w:shd w:val="clear" w:color="auto" w:fill="auto"/>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62.03</w:t>
            </w:r>
          </w:p>
        </w:tc>
        <w:tc>
          <w:tcPr>
            <w:tcW w:w="1355" w:type="pct"/>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Számítógépes eszközök kezelésével kapcsolatos tevékenység</w:t>
            </w:r>
          </w:p>
        </w:tc>
        <w:tc>
          <w:tcPr>
            <w:tcW w:w="3060" w:type="pct"/>
            <w:shd w:val="clear" w:color="auto" w:fill="auto"/>
          </w:tcPr>
          <w:p w:rsidR="00584CFB" w:rsidRPr="00F00421" w:rsidRDefault="00584CFB" w:rsidP="00A03AFF">
            <w:pPr>
              <w:tabs>
                <w:tab w:val="left" w:pos="142"/>
              </w:tabs>
              <w:autoSpaceDE w:val="0"/>
              <w:autoSpaceDN w:val="0"/>
              <w:adjustRightInd w:val="0"/>
              <w:jc w:val="both"/>
              <w:rPr>
                <w:rFonts w:ascii="Times New Roman" w:eastAsia="Times New Roman" w:hAnsi="Times New Roman"/>
                <w:lang w:val="uk-UA" w:eastAsia="uk-UA"/>
              </w:rPr>
            </w:pPr>
            <w:r w:rsidRPr="00F00421">
              <w:rPr>
                <w:rFonts w:ascii="Times New Roman" w:eastAsia="Times New Roman" w:hAnsi="Times New Roman"/>
                <w:lang w:val="uk-UA" w:eastAsia="uk-UA"/>
              </w:rPr>
              <w:t>Az ügyfél számítógépes rendszereinek és/vagy adatfeldolgozó berendezéseinek kezelése, üzemeltetése úgy, hogy azok az ügyfél információs rendszerében működjenek</w:t>
            </w:r>
          </w:p>
        </w:tc>
      </w:tr>
      <w:tr w:rsidR="00584CFB" w:rsidRPr="00F00421" w:rsidTr="00F308E9">
        <w:tc>
          <w:tcPr>
            <w:tcW w:w="585" w:type="pct"/>
            <w:shd w:val="clear" w:color="auto" w:fill="auto"/>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62.09</w:t>
            </w:r>
          </w:p>
        </w:tc>
        <w:tc>
          <w:tcPr>
            <w:tcW w:w="1355" w:type="pct"/>
            <w:shd w:val="clear" w:color="auto" w:fill="auto"/>
            <w:vAlign w:val="center"/>
          </w:tcPr>
          <w:p w:rsidR="00584CFB" w:rsidRPr="00F00421" w:rsidRDefault="00584CFB" w:rsidP="00A03AFF">
            <w:pPr>
              <w:tabs>
                <w:tab w:val="left" w:pos="142"/>
              </w:tabs>
              <w:autoSpaceDE w:val="0"/>
              <w:autoSpaceDN w:val="0"/>
              <w:adjustRightInd w:val="0"/>
              <w:jc w:val="center"/>
              <w:rPr>
                <w:rFonts w:ascii="Times New Roman" w:eastAsia="Times New Roman" w:hAnsi="Times New Roman"/>
                <w:lang w:val="uk-UA" w:eastAsia="uk-UA"/>
              </w:rPr>
            </w:pPr>
            <w:r w:rsidRPr="00F00421">
              <w:rPr>
                <w:rFonts w:ascii="Times New Roman" w:eastAsia="Times New Roman" w:hAnsi="Times New Roman"/>
                <w:lang w:val="uk-UA" w:eastAsia="uk-UA"/>
              </w:rPr>
              <w:t>Egyéb információtechnológiai és számítás</w:t>
            </w:r>
            <w:r w:rsidRPr="00F00421">
              <w:rPr>
                <w:rFonts w:ascii="Times New Roman" w:eastAsia="Times New Roman" w:hAnsi="Times New Roman"/>
                <w:lang w:eastAsia="uk-UA"/>
              </w:rPr>
              <w:t xml:space="preserve">technikai </w:t>
            </w:r>
            <w:r w:rsidRPr="00F00421">
              <w:rPr>
                <w:rFonts w:ascii="Times New Roman" w:eastAsia="Times New Roman" w:hAnsi="Times New Roman"/>
                <w:lang w:val="uk-UA" w:eastAsia="uk-UA"/>
              </w:rPr>
              <w:t>szolgáltatás</w:t>
            </w:r>
          </w:p>
        </w:tc>
        <w:tc>
          <w:tcPr>
            <w:tcW w:w="3060" w:type="pct"/>
            <w:shd w:val="clear" w:color="auto" w:fill="auto"/>
          </w:tcPr>
          <w:p w:rsidR="00584CFB" w:rsidRPr="00F00421" w:rsidRDefault="00584CFB" w:rsidP="00A03AFF">
            <w:pPr>
              <w:tabs>
                <w:tab w:val="left" w:pos="142"/>
              </w:tabs>
              <w:autoSpaceDE w:val="0"/>
              <w:autoSpaceDN w:val="0"/>
              <w:adjustRightInd w:val="0"/>
              <w:jc w:val="both"/>
              <w:rPr>
                <w:rFonts w:ascii="Times New Roman" w:eastAsia="Times New Roman" w:hAnsi="Times New Roman"/>
                <w:lang w:val="uk-UA" w:eastAsia="uk-UA"/>
              </w:rPr>
            </w:pPr>
            <w:r w:rsidRPr="00F00421">
              <w:rPr>
                <w:rFonts w:ascii="Times New Roman" w:eastAsia="Times New Roman" w:hAnsi="Times New Roman"/>
                <w:lang w:val="uk-UA" w:eastAsia="uk-UA"/>
              </w:rPr>
              <w:t>Számítógépek helyreállítása sérülés után; személyi számítógépek telepítése; nem számítógépes szoftvertelepítési szolgáltatások</w:t>
            </w:r>
          </w:p>
        </w:tc>
      </w:tr>
    </w:tbl>
    <w:p w:rsidR="00584CFB" w:rsidRPr="00F00421" w:rsidRDefault="00584CFB" w:rsidP="00584CFB">
      <w:pPr>
        <w:spacing w:line="372" w:lineRule="auto"/>
        <w:ind w:firstLine="567"/>
        <w:jc w:val="both"/>
        <w:rPr>
          <w:rFonts w:ascii="Times New Roman" w:eastAsia="Times New Roman" w:hAnsi="Times New Roman"/>
          <w:i/>
          <w:iCs/>
          <w:color w:val="000000"/>
          <w:lang w:eastAsia="uk-UA"/>
        </w:rPr>
      </w:pPr>
      <w:r w:rsidRPr="00F00421">
        <w:rPr>
          <w:rFonts w:ascii="Times New Roman" w:eastAsia="Times New Roman" w:hAnsi="Times New Roman"/>
          <w:i/>
          <w:iCs/>
          <w:color w:val="000000"/>
          <w:lang w:eastAsia="uk-UA"/>
        </w:rPr>
        <w:t>Forrás</w:t>
      </w:r>
      <w:r w:rsidRPr="00F00421">
        <w:rPr>
          <w:rFonts w:ascii="Times New Roman" w:eastAsia="Times New Roman" w:hAnsi="Times New Roman"/>
          <w:i/>
          <w:iCs/>
          <w:color w:val="000000"/>
          <w:lang w:val="uk-UA" w:eastAsia="uk-UA"/>
        </w:rPr>
        <w:t xml:space="preserve">: </w:t>
      </w:r>
      <w:r w:rsidRPr="00F00421">
        <w:rPr>
          <w:rFonts w:ascii="Times New Roman" w:eastAsia="Times New Roman" w:hAnsi="Times New Roman"/>
          <w:i/>
          <w:iCs/>
          <w:color w:val="000000"/>
          <w:lang w:eastAsia="uk-UA"/>
        </w:rPr>
        <w:t>saját kidolgozás a</w:t>
      </w:r>
      <w:r w:rsidRPr="00F00421">
        <w:rPr>
          <w:rFonts w:ascii="Times New Roman" w:eastAsia="Times New Roman" w:hAnsi="Times New Roman"/>
          <w:i/>
          <w:iCs/>
          <w:color w:val="000000"/>
          <w:lang w:val="uk-UA" w:eastAsia="uk-UA"/>
        </w:rPr>
        <w:t xml:space="preserve"> [1</w:t>
      </w:r>
      <w:r w:rsidRPr="00F00421">
        <w:rPr>
          <w:rFonts w:ascii="Times New Roman" w:eastAsia="Times New Roman" w:hAnsi="Times New Roman"/>
          <w:i/>
          <w:iCs/>
          <w:color w:val="000000"/>
          <w:lang w:eastAsia="uk-UA"/>
        </w:rPr>
        <w:t>2</w:t>
      </w:r>
      <w:r w:rsidRPr="00F00421">
        <w:rPr>
          <w:rFonts w:ascii="Times New Roman" w:eastAsia="Times New Roman" w:hAnsi="Times New Roman"/>
          <w:i/>
          <w:iCs/>
          <w:color w:val="000000"/>
          <w:lang w:val="uk-UA" w:eastAsia="uk-UA"/>
        </w:rPr>
        <w:t>]</w:t>
      </w:r>
      <w:r w:rsidRPr="00F00421">
        <w:rPr>
          <w:rFonts w:ascii="Times New Roman" w:eastAsia="Times New Roman" w:hAnsi="Times New Roman"/>
          <w:i/>
          <w:iCs/>
          <w:color w:val="000000"/>
          <w:lang w:eastAsia="uk-UA"/>
        </w:rPr>
        <w:t xml:space="preserve"> alapján.</w:t>
      </w:r>
    </w:p>
    <w:p w:rsidR="00584CFB" w:rsidRPr="00F00421" w:rsidRDefault="00584CFB" w:rsidP="00584CFB">
      <w:pPr>
        <w:tabs>
          <w:tab w:val="left" w:pos="851"/>
        </w:tabs>
        <w:spacing w:line="276" w:lineRule="auto"/>
        <w:ind w:left="567"/>
        <w:jc w:val="both"/>
        <w:rPr>
          <w:rFonts w:ascii="Times New Roman" w:hAnsi="Times New Roman"/>
          <w:sz w:val="24"/>
          <w:szCs w:val="24"/>
        </w:rPr>
      </w:pPr>
    </w:p>
    <w:p w:rsidR="00584CFB" w:rsidRDefault="00584CFB" w:rsidP="00584CFB">
      <w:pPr>
        <w:tabs>
          <w:tab w:val="left" w:pos="851"/>
        </w:tabs>
        <w:spacing w:line="276" w:lineRule="auto"/>
        <w:jc w:val="center"/>
        <w:rPr>
          <w:rFonts w:ascii="Times New Roman" w:hAnsi="Times New Roman"/>
        </w:rPr>
      </w:pPr>
      <w:r w:rsidRPr="00F00421">
        <w:rPr>
          <w:rFonts w:ascii="Times New Roman" w:eastAsia="Times New Roman" w:hAnsi="Times New Roman"/>
          <w:noProof/>
          <w:color w:val="000000"/>
          <w:sz w:val="24"/>
          <w:szCs w:val="24"/>
          <w:lang w:eastAsia="hu-HU"/>
        </w:rPr>
        <w:lastRenderedPageBreak/>
        <w:drawing>
          <wp:inline distT="0" distB="0" distL="0" distR="0">
            <wp:extent cx="5494020" cy="336804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4CFB" w:rsidRPr="00F00421" w:rsidRDefault="00584CFB" w:rsidP="00584CFB">
      <w:pPr>
        <w:tabs>
          <w:tab w:val="left" w:pos="851"/>
        </w:tabs>
        <w:spacing w:line="276" w:lineRule="auto"/>
        <w:jc w:val="center"/>
        <w:rPr>
          <w:rFonts w:ascii="Times New Roman" w:hAnsi="Times New Roman"/>
          <w:b/>
          <w:sz w:val="26"/>
          <w:szCs w:val="26"/>
        </w:rPr>
      </w:pPr>
      <w:r w:rsidRPr="00F00421">
        <w:rPr>
          <w:rFonts w:ascii="Times New Roman" w:hAnsi="Times New Roman"/>
          <w:b/>
          <w:sz w:val="26"/>
          <w:szCs w:val="26"/>
          <w:lang w:val="uk-UA"/>
        </w:rPr>
        <w:t xml:space="preserve">1. </w:t>
      </w:r>
      <w:r w:rsidRPr="00F00421">
        <w:rPr>
          <w:rFonts w:ascii="Times New Roman" w:hAnsi="Times New Roman"/>
          <w:b/>
          <w:sz w:val="26"/>
          <w:szCs w:val="26"/>
        </w:rPr>
        <w:t>á</w:t>
      </w:r>
      <w:r w:rsidRPr="00F00421">
        <w:rPr>
          <w:rFonts w:ascii="Times New Roman" w:hAnsi="Times New Roman"/>
          <w:b/>
          <w:sz w:val="26"/>
          <w:szCs w:val="26"/>
          <w:lang w:val="uk-UA"/>
        </w:rPr>
        <w:t>bra.</w:t>
      </w:r>
      <w:r w:rsidRPr="00F00421">
        <w:rPr>
          <w:rFonts w:ascii="Times New Roman" w:hAnsi="Times New Roman"/>
          <w:b/>
          <w:sz w:val="26"/>
          <w:szCs w:val="26"/>
        </w:rPr>
        <w:t xml:space="preserve"> A</w:t>
      </w:r>
      <w:r w:rsidRPr="00F00421">
        <w:rPr>
          <w:rFonts w:ascii="Times New Roman" w:hAnsi="Times New Roman"/>
          <w:b/>
          <w:sz w:val="26"/>
          <w:szCs w:val="26"/>
          <w:lang w:val="uk-UA"/>
        </w:rPr>
        <w:t xml:space="preserve"> bejegyzett jogi személyek száma IT területen Kárpátalján a NACE kódok megoszlása szerint</w:t>
      </w:r>
      <w:r w:rsidRPr="00F00421">
        <w:rPr>
          <w:rFonts w:ascii="Times New Roman" w:hAnsi="Times New Roman"/>
          <w:b/>
          <w:sz w:val="26"/>
          <w:szCs w:val="26"/>
        </w:rPr>
        <w:t>.</w:t>
      </w:r>
    </w:p>
    <w:p w:rsidR="00584CFB" w:rsidRPr="00F00421" w:rsidRDefault="00584CFB" w:rsidP="00584CFB">
      <w:pPr>
        <w:tabs>
          <w:tab w:val="left" w:pos="851"/>
        </w:tabs>
        <w:spacing w:line="276" w:lineRule="auto"/>
        <w:ind w:left="567"/>
        <w:rPr>
          <w:rFonts w:ascii="Times New Roman" w:hAnsi="Times New Roman"/>
        </w:rPr>
      </w:pPr>
      <w:r w:rsidRPr="00F00421">
        <w:rPr>
          <w:rFonts w:ascii="Times New Roman" w:hAnsi="Times New Roman"/>
          <w:i/>
          <w:iCs/>
        </w:rPr>
        <w:t>Forrás: Saját szerkesztés [8] alapján.</w:t>
      </w:r>
    </w:p>
    <w:p w:rsidR="00584CFB" w:rsidRPr="00F00421" w:rsidRDefault="00584CFB" w:rsidP="00584CFB">
      <w:pPr>
        <w:tabs>
          <w:tab w:val="left" w:pos="851"/>
        </w:tabs>
        <w:ind w:firstLine="425"/>
        <w:jc w:val="center"/>
        <w:rPr>
          <w:rFonts w:ascii="Times New Roman" w:hAnsi="Times New Roman"/>
          <w:sz w:val="26"/>
          <w:szCs w:val="26"/>
          <w:lang w:val="uk-UA"/>
        </w:rPr>
      </w:pPr>
    </w:p>
    <w:p w:rsidR="00584CFB" w:rsidRPr="00F00421" w:rsidRDefault="00584CFB" w:rsidP="00584CFB">
      <w:pPr>
        <w:ind w:firstLine="425"/>
        <w:jc w:val="both"/>
        <w:rPr>
          <w:rFonts w:ascii="Times New Roman" w:hAnsi="Times New Roman"/>
          <w:sz w:val="26"/>
          <w:szCs w:val="26"/>
          <w:lang w:val="uk-UA"/>
        </w:rPr>
      </w:pPr>
      <w:r w:rsidRPr="00F00421">
        <w:rPr>
          <w:rFonts w:ascii="Times New Roman" w:hAnsi="Times New Roman"/>
          <w:b/>
          <w:color w:val="000000"/>
          <w:sz w:val="26"/>
          <w:szCs w:val="26"/>
          <w:lang w:val="uk-UA"/>
        </w:rPr>
        <w:t>Következtetések és további kutatások kilátásai.</w:t>
      </w:r>
      <w:r w:rsidRPr="00F00421">
        <w:rPr>
          <w:rFonts w:ascii="Times New Roman" w:hAnsi="Times New Roman"/>
          <w:color w:val="000000"/>
          <w:sz w:val="26"/>
          <w:szCs w:val="26"/>
          <w:lang w:val="uk-UA"/>
        </w:rPr>
        <w:t xml:space="preserve"> </w:t>
      </w:r>
      <w:r w:rsidR="00F308E9">
        <w:rPr>
          <w:rFonts w:ascii="Times New Roman" w:hAnsi="Times New Roman"/>
          <w:sz w:val="26"/>
          <w:szCs w:val="26"/>
          <w:lang w:val="uk-UA"/>
        </w:rPr>
        <w:t>...</w:t>
      </w:r>
      <w:r w:rsidRPr="00F00421">
        <w:rPr>
          <w:rFonts w:ascii="Times New Roman" w:hAnsi="Times New Roman"/>
          <w:color w:val="000000"/>
          <w:sz w:val="26"/>
          <w:szCs w:val="26"/>
          <w:lang w:val="uk-UA"/>
        </w:rPr>
        <w:t>.</w:t>
      </w:r>
    </w:p>
    <w:p w:rsidR="00584CFB" w:rsidRPr="00F00421" w:rsidRDefault="00584CFB" w:rsidP="00584CFB">
      <w:pPr>
        <w:ind w:firstLine="425"/>
        <w:jc w:val="both"/>
        <w:rPr>
          <w:rFonts w:ascii="Times New Roman" w:hAnsi="Times New Roman"/>
          <w:sz w:val="26"/>
          <w:szCs w:val="26"/>
          <w:highlight w:val="yellow"/>
          <w:lang w:val="uk-UA"/>
        </w:rPr>
      </w:pPr>
    </w:p>
    <w:p w:rsidR="00584CFB" w:rsidRPr="00F00421" w:rsidRDefault="00584CFB" w:rsidP="00584CFB">
      <w:pPr>
        <w:tabs>
          <w:tab w:val="left" w:pos="851"/>
        </w:tabs>
        <w:suppressAutoHyphens/>
        <w:ind w:firstLine="425"/>
        <w:jc w:val="center"/>
        <w:rPr>
          <w:rFonts w:ascii="Times New Roman" w:hAnsi="Times New Roman"/>
          <w:b/>
          <w:sz w:val="26"/>
          <w:szCs w:val="26"/>
          <w:lang w:val="en-US"/>
        </w:rPr>
      </w:pPr>
      <w:r w:rsidRPr="00F00421">
        <w:rPr>
          <w:rFonts w:ascii="Times New Roman" w:hAnsi="Times New Roman"/>
          <w:b/>
          <w:sz w:val="26"/>
          <w:szCs w:val="26"/>
          <w:lang w:val="uk-UA"/>
        </w:rPr>
        <w:t>A felhasznált források listája</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uk-UA"/>
        </w:rPr>
        <w:tab/>
        <w:t>Тарасюк, С. (2022). Дискримінаційні обмеження набуття статусу резидента правового режиту Дія Сіті. Наукові праці Національного авіаційного університету. Серія: Юридичний вісник «Повітряне і космічне право», 1(62), 109–116. https://doi.org/10.18372/2307-9061.62.16489</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2.</w:t>
      </w:r>
      <w:r w:rsidRPr="00E36A0A">
        <w:rPr>
          <w:rFonts w:ascii="Times New Roman" w:hAnsi="Times New Roman"/>
          <w:lang w:val="uk-UA"/>
        </w:rPr>
        <w:tab/>
        <w:t xml:space="preserve">Алтинпара А.О., Корогодова О.О. Аутсорсинг як інструмент розвитку компаній ІТ-сектору України в умовах Індустрії-4.0. Економічний вісник Національного технічного університету України «Київський політехнічний інститут». 2019. № 16. С. 140-152. URL: http://nbuv.gov.ua/UJRN/evntukpi_2019_16_18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3.</w:t>
      </w:r>
      <w:r w:rsidRPr="00E36A0A">
        <w:rPr>
          <w:rFonts w:ascii="Times New Roman" w:hAnsi="Times New Roman"/>
          <w:lang w:val="uk-UA"/>
        </w:rPr>
        <w:tab/>
        <w:t xml:space="preserve">Бардаш С.В., Кузик Н.П. Ідентифікація відмінностей бухгалтерського обліку як галузі наукових знань та практичної діяльності: основа трансформаційних перетворень. Економіка АПК.  2021. № 2 С. 59-70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4.</w:t>
      </w:r>
      <w:r w:rsidRPr="00E36A0A">
        <w:rPr>
          <w:rFonts w:ascii="Times New Roman" w:hAnsi="Times New Roman"/>
          <w:lang w:val="uk-UA"/>
        </w:rPr>
        <w:tab/>
        <w:t xml:space="preserve">Винничук Р. О., Склярук Т. В. Особливості розвитку IT-ринку в Україні: стан та тенденції. Вісник Національного університету «Львівська політехніка». Логістика. 2015. № 833. С. 3-8. URL: http://nbuv.gov.ua/UJRN/VNULPL_2015_833_3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5.</w:t>
      </w:r>
      <w:r w:rsidRPr="00E36A0A">
        <w:rPr>
          <w:rFonts w:ascii="Times New Roman" w:hAnsi="Times New Roman"/>
          <w:lang w:val="uk-UA"/>
        </w:rPr>
        <w:tab/>
        <w:t xml:space="preserve"> Волянюк І. Особливості бухобліку в ІТ-компаніях. Вісник. Офіційно про податки. 2017. № 12. URL: </w:t>
      </w:r>
      <w:r w:rsidRPr="00E36A0A">
        <w:rPr>
          <w:rFonts w:ascii="Times New Roman" w:hAnsi="Times New Roman"/>
          <w:lang w:val="uk-UA"/>
        </w:rPr>
        <w:fldChar w:fldCharType="begin"/>
      </w:r>
      <w:r w:rsidRPr="00E36A0A">
        <w:rPr>
          <w:rFonts w:ascii="Times New Roman" w:hAnsi="Times New Roman"/>
          <w:lang w:val="uk-UA"/>
        </w:rPr>
        <w:instrText xml:space="preserve"> HYPERLINK "http://www.visnuk.com.ua/uk/publication/100004441-osoblivosti-bukhobliku-v-it-kompaniyakh </w:instrTex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instrText xml:space="preserve">6" </w:instrText>
      </w:r>
      <w:r w:rsidRPr="00E36A0A">
        <w:rPr>
          <w:rFonts w:ascii="Times New Roman" w:hAnsi="Times New Roman"/>
          <w:lang w:val="uk-UA"/>
        </w:rPr>
        <w:fldChar w:fldCharType="separate"/>
      </w:r>
      <w:r w:rsidRPr="00E36A0A">
        <w:rPr>
          <w:rFonts w:ascii="Times New Roman" w:hAnsi="Times New Roman"/>
          <w:lang w:val="uk-UA"/>
        </w:rPr>
        <w:t xml:space="preserve">http://www.visnuk.com.ua/uk/publication/100004441-osoblivosti-bukhobliku-v-it-kompaniyakh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ru-RU"/>
        </w:rPr>
        <w:t>6</w:t>
      </w:r>
      <w:r w:rsidRPr="00E36A0A">
        <w:rPr>
          <w:rFonts w:ascii="Times New Roman" w:hAnsi="Times New Roman"/>
          <w:lang w:val="uk-UA"/>
        </w:rPr>
        <w:fldChar w:fldCharType="end"/>
      </w:r>
      <w:r w:rsidRPr="00E36A0A">
        <w:rPr>
          <w:rFonts w:ascii="Times New Roman" w:hAnsi="Times New Roman"/>
          <w:lang w:val="ru-RU"/>
        </w:rPr>
        <w:t xml:space="preserve">. </w:t>
      </w:r>
      <w:r w:rsidRPr="00E36A0A">
        <w:rPr>
          <w:rFonts w:ascii="Times New Roman" w:hAnsi="Times New Roman"/>
          <w:lang w:val="uk-UA"/>
        </w:rPr>
        <w:t>Гаджиева Е.Ю. Аутсорсинг в IT-технологиях. Научный вестник ЮИМ. 2018. № 1. С. 35-37.  URL: https://cyberleninka.ru/article/n/autsorsing-v-it-tehnologiyah/viewer</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ru-RU"/>
        </w:rPr>
        <w:t>7</w:t>
      </w:r>
      <w:r w:rsidRPr="00E36A0A">
        <w:rPr>
          <w:rFonts w:ascii="Times New Roman" w:hAnsi="Times New Roman"/>
          <w:lang w:val="uk-UA"/>
        </w:rPr>
        <w:t>.</w:t>
      </w:r>
      <w:r w:rsidRPr="00E36A0A">
        <w:rPr>
          <w:rFonts w:ascii="Times New Roman" w:hAnsi="Times New Roman"/>
          <w:lang w:val="uk-UA"/>
        </w:rPr>
        <w:tab/>
        <w:t>Гіг-контракти. Що це таке? Які умови та особливості таких контрактів? URL: https://biz.ligazakon.net/news/205724_gg-kontrakti-shcho-tse-take-yak-umovi-ta-osoblivost-takikh-kontraktv</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ru-RU"/>
        </w:rPr>
        <w:t>8</w:t>
      </w:r>
      <w:r w:rsidRPr="00E36A0A">
        <w:rPr>
          <w:rFonts w:ascii="Times New Roman" w:hAnsi="Times New Roman"/>
          <w:lang w:val="uk-UA"/>
        </w:rPr>
        <w:t>.</w:t>
      </w:r>
      <w:r w:rsidRPr="00E36A0A">
        <w:rPr>
          <w:rFonts w:ascii="Times New Roman" w:hAnsi="Times New Roman"/>
          <w:lang w:val="uk-UA"/>
        </w:rPr>
        <w:tab/>
        <w:t>Головне управління статистики у Закарпатській області. Кількість зареєстрованих юридичних осіб за видами економічної діяльності</w:t>
      </w:r>
      <w:r w:rsidRPr="00E36A0A">
        <w:rPr>
          <w:rFonts w:ascii="Times New Roman" w:hAnsi="Times New Roman"/>
          <w:lang w:val="ru-RU"/>
        </w:rPr>
        <w:t xml:space="preserve"> [Електронний ресурс].</w:t>
      </w:r>
      <w:r w:rsidRPr="00E36A0A">
        <w:rPr>
          <w:rFonts w:ascii="Times New Roman" w:hAnsi="Times New Roman"/>
          <w:lang w:val="uk-UA"/>
        </w:rPr>
        <w:t xml:space="preserve"> URL: http://www.uz.ukrstat.gov.ua/statinfo/edrpou/2022/edrpou_econ_0101_2022.pdf)</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lastRenderedPageBreak/>
        <w:t>9.</w:t>
      </w:r>
      <w:r w:rsidRPr="00E36A0A">
        <w:rPr>
          <w:rFonts w:ascii="Times New Roman" w:hAnsi="Times New Roman"/>
          <w:lang w:val="uk-UA"/>
        </w:rPr>
        <w:tab/>
        <w:t xml:space="preserve">Довбуш В.І., Пузирьова П.В. Значення ІТ-компаній для економіки України та їх специфіка для цілей бухгалтерського обліку. Формування ринкових відносин в Україні. 2020. № 5(228). С. 26-31. DOI 10.5281/zenodo.3937202.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10.</w:t>
      </w:r>
      <w:r w:rsidRPr="00E36A0A">
        <w:rPr>
          <w:rFonts w:ascii="Times New Roman" w:hAnsi="Times New Roman"/>
          <w:lang w:val="uk-UA"/>
        </w:rPr>
        <w:tab/>
        <w:t xml:space="preserve">Іващенко Г. А. Обліково-аналітичне забезпечення економічної безпеки. Молодий вчений. 2018. № 2(2). С. 719-722.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1</w:t>
      </w:r>
      <w:r w:rsidRPr="00E36A0A">
        <w:rPr>
          <w:rFonts w:ascii="Times New Roman" w:hAnsi="Times New Roman"/>
          <w:lang w:val="uk-UA"/>
        </w:rPr>
        <w:t>.</w:t>
      </w:r>
      <w:r w:rsidRPr="00E36A0A">
        <w:rPr>
          <w:rFonts w:ascii="Times New Roman" w:hAnsi="Times New Roman"/>
          <w:lang w:val="uk-UA"/>
        </w:rPr>
        <w:tab/>
        <w:t xml:space="preserve">Кемарська Л. Г. Розвиток ІТ-сектору в Україні: перспективи та ризики, особливості оподаткування та обліку. Економічний вісник Дніпровського державного технічного університету. 2020. № 1. С. 104-114. URL: http://nbuv.gov.ua/UJRN/evddtu_2020_1_15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12.</w:t>
      </w:r>
      <w:r w:rsidRPr="00E36A0A">
        <w:rPr>
          <w:rFonts w:ascii="Times New Roman" w:hAnsi="Times New Roman"/>
          <w:lang w:val="uk-UA"/>
        </w:rPr>
        <w:tab/>
        <w:t xml:space="preserve"> Класифікація видів економічної діяльності ДК 009:2010 [Електронний ресурс].  URL: http://kved.ukrstat.gov.ua/KVED2010/kv10_i.html</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3</w:t>
      </w:r>
      <w:r w:rsidRPr="00E36A0A">
        <w:rPr>
          <w:rFonts w:ascii="Times New Roman" w:hAnsi="Times New Roman"/>
          <w:lang w:val="uk-UA"/>
        </w:rPr>
        <w:t>.</w:t>
      </w:r>
      <w:r w:rsidRPr="00E36A0A">
        <w:rPr>
          <w:rFonts w:ascii="Times New Roman" w:hAnsi="Times New Roman"/>
          <w:lang w:val="uk-UA"/>
        </w:rPr>
        <w:tab/>
        <w:t>На Закарпатті створили свій IT-кластер</w:t>
      </w:r>
      <w:r w:rsidRPr="00E36A0A">
        <w:rPr>
          <w:rFonts w:ascii="Times New Roman" w:hAnsi="Times New Roman"/>
          <w:lang w:val="ru-RU"/>
        </w:rPr>
        <w:t xml:space="preserve"> [Електронний ресурс]</w:t>
      </w:r>
      <w:r w:rsidRPr="00E36A0A">
        <w:rPr>
          <w:rFonts w:ascii="Times New Roman" w:hAnsi="Times New Roman"/>
          <w:lang w:val="uk-UA"/>
        </w:rPr>
        <w:t>. URL: https://www.unian.ua/science/na-zakarpatti-stvorili-sviy-it-klaster-novini-11788152.html</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14.</w:t>
      </w:r>
      <w:r w:rsidRPr="00E36A0A">
        <w:rPr>
          <w:rFonts w:ascii="Times New Roman" w:hAnsi="Times New Roman"/>
          <w:lang w:val="uk-UA"/>
        </w:rPr>
        <w:tab/>
        <w:t>Оподаткування ІТ-бізнесу в Україні: що чекає резидентів «Дія Сіті»? [Електронний ресурс]</w:t>
      </w:r>
      <w:r w:rsidRPr="00E36A0A">
        <w:rPr>
          <w:rFonts w:ascii="Times New Roman" w:hAnsi="Times New Roman"/>
          <w:lang w:val="ru-RU"/>
        </w:rPr>
        <w:t>.</w:t>
      </w:r>
      <w:r w:rsidRPr="00E36A0A">
        <w:rPr>
          <w:rFonts w:ascii="Times New Roman" w:hAnsi="Times New Roman"/>
          <w:lang w:val="uk-UA"/>
        </w:rPr>
        <w:t xml:space="preserve"> URL: http://www.visnuk.com.ua/uk/news/100025616-opodatkuvannya-it-biznesu-v-ukrayini-scho-chekaye-rezidentiv-diya-siti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5</w:t>
      </w:r>
      <w:r w:rsidRPr="00E36A0A">
        <w:rPr>
          <w:rFonts w:ascii="Times New Roman" w:hAnsi="Times New Roman"/>
          <w:lang w:val="uk-UA"/>
        </w:rPr>
        <w:t>.</w:t>
      </w:r>
      <w:r w:rsidRPr="00E36A0A">
        <w:rPr>
          <w:rFonts w:ascii="Times New Roman" w:hAnsi="Times New Roman"/>
          <w:lang w:val="uk-UA"/>
        </w:rPr>
        <w:tab/>
        <w:t>Податковий кодекс України : Закон України від 02.12.2010 № 2755-VI. URL: https://zakon.rada.gov.ua/laws/show/2755-17#Text</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16.</w:t>
      </w:r>
      <w:r w:rsidRPr="00E36A0A">
        <w:rPr>
          <w:rFonts w:ascii="Times New Roman" w:hAnsi="Times New Roman"/>
          <w:lang w:val="uk-UA"/>
        </w:rPr>
        <w:tab/>
        <w:t>Про внесення змін до Податкового кодексу України щодо стимулювання розвитку цифрової економіки в Україні: Закон України від 14.12.2021 № 1946-ІХ. URL: https://zakon.rada.gov.ua/laws/show/1946-20#Text</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7</w:t>
      </w:r>
      <w:r w:rsidRPr="00E36A0A">
        <w:rPr>
          <w:rFonts w:ascii="Times New Roman" w:hAnsi="Times New Roman"/>
          <w:lang w:val="uk-UA"/>
        </w:rPr>
        <w:t>.</w:t>
      </w:r>
      <w:r w:rsidRPr="00E36A0A">
        <w:rPr>
          <w:rFonts w:ascii="Times New Roman" w:hAnsi="Times New Roman"/>
          <w:lang w:val="uk-UA"/>
        </w:rPr>
        <w:tab/>
        <w:t xml:space="preserve"> Про Національну програму інформатизації: Закон України  від 04.02.1998 р. № 74/98-ВР</w:t>
      </w:r>
      <w:r w:rsidRPr="00E36A0A">
        <w:rPr>
          <w:rFonts w:ascii="Times New Roman" w:hAnsi="Times New Roman"/>
          <w:lang w:val="ru-RU"/>
        </w:rPr>
        <w:t xml:space="preserve">. </w:t>
      </w:r>
      <w:r w:rsidRPr="00E36A0A">
        <w:rPr>
          <w:rFonts w:ascii="Times New Roman" w:hAnsi="Times New Roman"/>
          <w:lang w:val="uk-UA"/>
        </w:rPr>
        <w:t xml:space="preserve">URL: https://zakon.rada.gov.ua/laws/show/74/98-%D0%B2%D1%80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8</w:t>
      </w:r>
      <w:r w:rsidRPr="00E36A0A">
        <w:rPr>
          <w:rFonts w:ascii="Times New Roman" w:hAnsi="Times New Roman"/>
          <w:lang w:val="uk-UA"/>
        </w:rPr>
        <w:t>.</w:t>
      </w:r>
      <w:r w:rsidRPr="00E36A0A">
        <w:rPr>
          <w:rFonts w:ascii="Times New Roman" w:hAnsi="Times New Roman"/>
          <w:lang w:val="uk-UA"/>
        </w:rPr>
        <w:tab/>
        <w:t xml:space="preserve">Про стимулювання розвитку цифрової економіки в Україні: Закон України від 15.07.2021 р. № 1667-IX. URL: https://zakon.rada.gov.ua/laws/show/1667-20#Text </w:t>
      </w:r>
    </w:p>
    <w:p w:rsidR="00584CFB" w:rsidRPr="00E36A0A" w:rsidRDefault="00584CFB" w:rsidP="00584CFB">
      <w:pPr>
        <w:tabs>
          <w:tab w:val="left" w:pos="284"/>
          <w:tab w:val="left" w:pos="851"/>
          <w:tab w:val="left" w:pos="993"/>
        </w:tabs>
        <w:jc w:val="both"/>
        <w:rPr>
          <w:rFonts w:ascii="Times New Roman" w:hAnsi="Times New Roman"/>
          <w:lang w:val="uk-UA"/>
        </w:rPr>
      </w:pPr>
      <w:r w:rsidRPr="00E36A0A">
        <w:rPr>
          <w:rFonts w:ascii="Times New Roman" w:hAnsi="Times New Roman"/>
          <w:lang w:val="uk-UA"/>
        </w:rPr>
        <w:t>1</w:t>
      </w:r>
      <w:r w:rsidRPr="00E36A0A">
        <w:rPr>
          <w:rFonts w:ascii="Times New Roman" w:hAnsi="Times New Roman"/>
          <w:lang w:val="ru-RU"/>
        </w:rPr>
        <w:t>9</w:t>
      </w:r>
      <w:r w:rsidRPr="00E36A0A">
        <w:rPr>
          <w:rFonts w:ascii="Times New Roman" w:hAnsi="Times New Roman"/>
          <w:lang w:val="uk-UA"/>
        </w:rPr>
        <w:t>.</w:t>
      </w:r>
      <w:r w:rsidRPr="00E36A0A">
        <w:rPr>
          <w:rFonts w:ascii="Times New Roman" w:hAnsi="Times New Roman"/>
          <w:lang w:val="uk-UA"/>
        </w:rPr>
        <w:tab/>
        <w:t xml:space="preserve">Тимошенко А.О. Оподаткування послуг в ІТ-сфері: проблеми та перспективи. Економiка та держава. 2018. № 4. С. 46-52 </w:t>
      </w:r>
    </w:p>
    <w:p w:rsidR="00584CFB" w:rsidRPr="00E36A0A" w:rsidRDefault="00584CFB" w:rsidP="00584CFB">
      <w:pPr>
        <w:tabs>
          <w:tab w:val="left" w:pos="284"/>
          <w:tab w:val="left" w:pos="851"/>
          <w:tab w:val="left" w:pos="993"/>
        </w:tabs>
        <w:jc w:val="center"/>
        <w:rPr>
          <w:rFonts w:ascii="Times New Roman" w:hAnsi="Times New Roman"/>
          <w:sz w:val="26"/>
          <w:szCs w:val="26"/>
          <w:lang w:val="uk-UA"/>
        </w:rPr>
      </w:pPr>
    </w:p>
    <w:p w:rsidR="00584CFB" w:rsidRPr="00E36A0A" w:rsidRDefault="00584CFB" w:rsidP="00584CFB">
      <w:pPr>
        <w:tabs>
          <w:tab w:val="left" w:pos="284"/>
          <w:tab w:val="left" w:pos="993"/>
        </w:tabs>
        <w:jc w:val="center"/>
        <w:rPr>
          <w:rFonts w:ascii="Times New Roman" w:hAnsi="Times New Roman"/>
          <w:b/>
          <w:bCs/>
          <w:sz w:val="26"/>
          <w:szCs w:val="26"/>
          <w:lang w:val="en-US"/>
        </w:rPr>
      </w:pPr>
      <w:r w:rsidRPr="00E36A0A">
        <w:rPr>
          <w:rFonts w:ascii="Times New Roman" w:hAnsi="Times New Roman"/>
          <w:b/>
          <w:bCs/>
          <w:sz w:val="26"/>
          <w:szCs w:val="26"/>
          <w:lang w:val="uk-UA"/>
        </w:rPr>
        <w:t>References</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uk-UA"/>
        </w:rPr>
        <w:t>Tarasiuk</w:t>
      </w:r>
      <w:r w:rsidRPr="00E36A0A">
        <w:rPr>
          <w:rFonts w:ascii="Times New Roman" w:hAnsi="Times New Roman"/>
          <w:lang w:val="en-US"/>
        </w:rPr>
        <w:t xml:space="preserve">, </w:t>
      </w:r>
      <w:r w:rsidRPr="00E36A0A">
        <w:rPr>
          <w:rFonts w:ascii="Times New Roman" w:hAnsi="Times New Roman"/>
          <w:lang w:val="uk-UA"/>
        </w:rPr>
        <w:t>С. (2022). D</w:t>
      </w:r>
      <w:r>
        <w:rPr>
          <w:rFonts w:ascii="Times New Roman" w:hAnsi="Times New Roman"/>
          <w:lang w:val="en-US"/>
        </w:rPr>
        <w:t>yskryminatsiini obmezhennia nabuttia status rezydenta pravovoho rezhymu siia siti [Discriminatory restrictions to obtain the status of resident of the legal regime diia siti</w:t>
      </w:r>
      <w:r w:rsidRPr="00E36A0A">
        <w:rPr>
          <w:rFonts w:ascii="Times New Roman" w:hAnsi="Times New Roman"/>
          <w:lang w:val="uk-UA"/>
        </w:rPr>
        <w:t xml:space="preserve">]. </w:t>
      </w:r>
      <w:r w:rsidRPr="00E36A0A">
        <w:rPr>
          <w:rFonts w:ascii="Times New Roman" w:hAnsi="Times New Roman"/>
          <w:i/>
          <w:iCs/>
          <w:lang w:val="uk-UA"/>
        </w:rPr>
        <w:t>Naukovi pratsi Natsionalnoho aviatsiinoho universytetu</w:t>
      </w:r>
      <w:r w:rsidRPr="00E36A0A">
        <w:rPr>
          <w:rFonts w:ascii="Times New Roman" w:hAnsi="Times New Roman"/>
          <w:i/>
          <w:iCs/>
          <w:lang w:val="en-US"/>
        </w:rPr>
        <w:t xml:space="preserve">,  </w:t>
      </w:r>
      <w:r w:rsidRPr="00E36A0A">
        <w:rPr>
          <w:rFonts w:ascii="Times New Roman" w:hAnsi="Times New Roman"/>
          <w:lang w:val="en-US"/>
        </w:rPr>
        <w:t>1(62), pp. 109-116. Available at: https://doi.org/10.18372/2307-9061.62.16489 (accessed 10 May 2022)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Altynpara. A.O., &amp; Korohodova. O.O. (2019) Autsorsynh yak instrument rozvytku kompanii IT-sektoru Ukrainy v umovakh Industrii-4.0 [Outsourcing as a tool for the development of companies in the IT sector of Ukraine in terms of Industry-4.0]. </w:t>
      </w:r>
      <w:r w:rsidRPr="00E36A0A">
        <w:rPr>
          <w:rFonts w:ascii="Times New Roman" w:hAnsi="Times New Roman"/>
          <w:i/>
          <w:iCs/>
          <w:lang w:val="en-US"/>
        </w:rPr>
        <w:t>Ekonomichnyi visnyk Natsionalnoho tekhnichnoho universytetu Ukrainy «Kyivskyi politekhnichnyi instytut»</w:t>
      </w:r>
      <w:r w:rsidRPr="00E36A0A">
        <w:rPr>
          <w:rFonts w:ascii="Times New Roman" w:hAnsi="Times New Roman"/>
          <w:lang w:val="uk-UA"/>
        </w:rPr>
        <w:t xml:space="preserve">, </w:t>
      </w:r>
      <w:r w:rsidRPr="00E36A0A">
        <w:rPr>
          <w:rFonts w:ascii="Times New Roman" w:hAnsi="Times New Roman"/>
          <w:lang w:val="en-US"/>
        </w:rPr>
        <w:t>16</w:t>
      </w:r>
      <w:r w:rsidRPr="00E36A0A">
        <w:rPr>
          <w:rFonts w:ascii="Times New Roman" w:hAnsi="Times New Roman"/>
          <w:lang w:val="uk-UA"/>
        </w:rPr>
        <w:t>, рр</w:t>
      </w:r>
      <w:r w:rsidRPr="00E36A0A">
        <w:rPr>
          <w:rFonts w:ascii="Times New Roman" w:hAnsi="Times New Roman"/>
          <w:lang w:val="en-US"/>
        </w:rPr>
        <w:t>. 140-152. Available at:</w:t>
      </w:r>
      <w:r w:rsidRPr="00E36A0A">
        <w:rPr>
          <w:rFonts w:ascii="Times New Roman" w:hAnsi="Times New Roman"/>
          <w:lang w:val="uk-UA"/>
        </w:rPr>
        <w:t xml:space="preserve"> </w:t>
      </w:r>
      <w:r w:rsidRPr="00E36A0A">
        <w:rPr>
          <w:rFonts w:ascii="Times New Roman" w:hAnsi="Times New Roman"/>
          <w:lang w:val="en-US"/>
        </w:rPr>
        <w:t xml:space="preserve">http://nbuv.gov.ua/UJRN/evntukpi_2019_16_18 </w:t>
      </w:r>
      <w:bookmarkStart w:id="1" w:name="_Hlk105533579"/>
      <w:r w:rsidRPr="00E36A0A">
        <w:rPr>
          <w:rFonts w:ascii="Times New Roman" w:hAnsi="Times New Roman"/>
          <w:lang w:val="en-US"/>
        </w:rPr>
        <w:t>(accessed 1</w:t>
      </w:r>
      <w:r w:rsidRPr="00E36A0A">
        <w:rPr>
          <w:rFonts w:ascii="Times New Roman" w:hAnsi="Times New Roman"/>
          <w:lang w:val="uk-UA"/>
        </w:rPr>
        <w:t>2</w:t>
      </w:r>
      <w:r w:rsidRPr="00E36A0A">
        <w:rPr>
          <w:rFonts w:ascii="Times New Roman" w:hAnsi="Times New Roman"/>
          <w:lang w:val="en-US"/>
        </w:rPr>
        <w:t xml:space="preserve"> May 2022) </w:t>
      </w:r>
      <w:bookmarkEnd w:id="1"/>
      <w:r w:rsidRPr="00E36A0A">
        <w:rPr>
          <w:rFonts w:ascii="Times New Roman" w:hAnsi="Times New Roman"/>
          <w:lang w:val="en-US"/>
        </w:rPr>
        <w:t>[in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Bardash</w:t>
      </w:r>
      <w:r w:rsidRPr="00E36A0A">
        <w:rPr>
          <w:rFonts w:ascii="Times New Roman" w:hAnsi="Times New Roman"/>
          <w:lang w:val="uk-UA"/>
        </w:rPr>
        <w:t xml:space="preserve">, </w:t>
      </w:r>
      <w:r w:rsidRPr="00E36A0A">
        <w:rPr>
          <w:rFonts w:ascii="Times New Roman" w:hAnsi="Times New Roman"/>
          <w:lang w:val="en-US"/>
        </w:rPr>
        <w:t>S.V., &amp;</w:t>
      </w:r>
      <w:r w:rsidRPr="00E36A0A">
        <w:rPr>
          <w:rFonts w:ascii="Times New Roman" w:hAnsi="Times New Roman"/>
          <w:lang w:val="uk-UA"/>
        </w:rPr>
        <w:t xml:space="preserve"> </w:t>
      </w:r>
      <w:r w:rsidRPr="00E36A0A">
        <w:rPr>
          <w:rFonts w:ascii="Times New Roman" w:hAnsi="Times New Roman"/>
          <w:lang w:val="en-US"/>
        </w:rPr>
        <w:t>Kuzyk N.P.</w:t>
      </w:r>
      <w:r w:rsidRPr="00E36A0A">
        <w:rPr>
          <w:rFonts w:ascii="Times New Roman" w:hAnsi="Times New Roman"/>
          <w:lang w:val="uk-UA"/>
        </w:rPr>
        <w:t xml:space="preserve"> </w:t>
      </w:r>
      <w:bookmarkStart w:id="2" w:name="_Hlk105533341"/>
      <w:r w:rsidRPr="00E36A0A">
        <w:rPr>
          <w:rFonts w:ascii="Times New Roman" w:hAnsi="Times New Roman"/>
          <w:lang w:val="en-US"/>
        </w:rPr>
        <w:t>(202</w:t>
      </w:r>
      <w:r w:rsidRPr="00E36A0A">
        <w:rPr>
          <w:rFonts w:ascii="Times New Roman" w:hAnsi="Times New Roman"/>
          <w:lang w:val="uk-UA"/>
        </w:rPr>
        <w:t>1</w:t>
      </w:r>
      <w:r w:rsidRPr="00E36A0A">
        <w:rPr>
          <w:rFonts w:ascii="Times New Roman" w:hAnsi="Times New Roman"/>
          <w:lang w:val="en-US"/>
        </w:rPr>
        <w:t xml:space="preserve">).  </w:t>
      </w:r>
      <w:bookmarkEnd w:id="2"/>
      <w:r w:rsidRPr="00E36A0A">
        <w:rPr>
          <w:rFonts w:ascii="Times New Roman" w:hAnsi="Times New Roman"/>
          <w:lang w:val="en-US"/>
        </w:rPr>
        <w:t>Identyfikatsiia vidminnostei bukhhalterskoho obliku yak haluzi naukovykh znan ta praktychnoi diialnosti: osnova transformatsiinykh peretvoren</w:t>
      </w:r>
      <w:r w:rsidRPr="00E36A0A">
        <w:rPr>
          <w:rFonts w:ascii="Times New Roman" w:hAnsi="Times New Roman"/>
          <w:lang w:val="uk-UA"/>
        </w:rPr>
        <w:t xml:space="preserve"> [Identification of differences in accounting as a field of scientific knowledge and practice: the basis of transformational transformations]</w:t>
      </w:r>
      <w:r w:rsidRPr="00E36A0A">
        <w:rPr>
          <w:rFonts w:ascii="Times New Roman" w:hAnsi="Times New Roman"/>
          <w:lang w:val="en-US"/>
        </w:rPr>
        <w:t xml:space="preserve">. </w:t>
      </w:r>
      <w:r w:rsidRPr="00E36A0A">
        <w:rPr>
          <w:rFonts w:ascii="Times New Roman" w:hAnsi="Times New Roman"/>
          <w:i/>
          <w:iCs/>
          <w:lang w:val="en-US"/>
        </w:rPr>
        <w:t>Ekonomika APK</w:t>
      </w:r>
      <w:r w:rsidRPr="00E36A0A">
        <w:rPr>
          <w:rFonts w:ascii="Times New Roman" w:hAnsi="Times New Roman"/>
          <w:lang w:val="uk-UA"/>
        </w:rPr>
        <w:t xml:space="preserve">, </w:t>
      </w:r>
      <w:r w:rsidRPr="00E36A0A">
        <w:rPr>
          <w:rFonts w:ascii="Times New Roman" w:hAnsi="Times New Roman"/>
          <w:lang w:val="en-US"/>
        </w:rPr>
        <w:t>2</w:t>
      </w:r>
      <w:r w:rsidRPr="00E36A0A">
        <w:rPr>
          <w:rFonts w:ascii="Times New Roman" w:hAnsi="Times New Roman"/>
          <w:lang w:val="uk-UA"/>
        </w:rPr>
        <w:t>, рр</w:t>
      </w:r>
      <w:r w:rsidRPr="00E36A0A">
        <w:rPr>
          <w:rFonts w:ascii="Times New Roman" w:hAnsi="Times New Roman"/>
          <w:lang w:val="en-US"/>
        </w:rPr>
        <w:t xml:space="preserve">. 59-70 </w:t>
      </w:r>
      <w:r w:rsidRPr="00E36A0A">
        <w:rPr>
          <w:rFonts w:ascii="Times New Roman" w:hAnsi="Times New Roman"/>
          <w:lang w:val="uk-UA"/>
        </w:rPr>
        <w:t>[in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Vynnychuk, R. O., &amp; Skliaruk, T. V. (20</w:t>
      </w:r>
      <w:r w:rsidRPr="00E36A0A">
        <w:rPr>
          <w:rFonts w:ascii="Times New Roman" w:hAnsi="Times New Roman"/>
          <w:lang w:val="uk-UA"/>
        </w:rPr>
        <w:t>15</w:t>
      </w:r>
      <w:r w:rsidRPr="00E36A0A">
        <w:rPr>
          <w:rFonts w:ascii="Times New Roman" w:hAnsi="Times New Roman"/>
          <w:lang w:val="en-US"/>
        </w:rPr>
        <w:t>).  Osoblyvosti rozvytku IT-rynku v Ukraini: stan ta tendentsii</w:t>
      </w:r>
      <w:r w:rsidRPr="00E36A0A">
        <w:rPr>
          <w:rFonts w:ascii="Times New Roman" w:hAnsi="Times New Roman"/>
          <w:lang w:val="uk-UA"/>
        </w:rPr>
        <w:t xml:space="preserve"> </w:t>
      </w:r>
      <w:bookmarkStart w:id="3" w:name="_Hlk105533422"/>
      <w:r w:rsidRPr="00E36A0A">
        <w:rPr>
          <w:rFonts w:ascii="Times New Roman" w:hAnsi="Times New Roman"/>
          <w:lang w:val="uk-UA"/>
        </w:rPr>
        <w:t>[Features of IT market development in Ukraine: status and trends].</w:t>
      </w:r>
      <w:bookmarkEnd w:id="3"/>
      <w:r w:rsidRPr="00E36A0A">
        <w:rPr>
          <w:rFonts w:ascii="Times New Roman" w:hAnsi="Times New Roman"/>
          <w:lang w:val="uk-UA"/>
        </w:rPr>
        <w:t xml:space="preserve"> </w:t>
      </w:r>
      <w:r w:rsidRPr="00E36A0A">
        <w:rPr>
          <w:rFonts w:ascii="Times New Roman" w:hAnsi="Times New Roman"/>
          <w:i/>
          <w:iCs/>
          <w:lang w:val="en-US"/>
        </w:rPr>
        <w:t>Visnyk Natsionalnoho universytetu «Lvivska politekhnika»</w:t>
      </w:r>
      <w:r w:rsidRPr="00E36A0A">
        <w:rPr>
          <w:rFonts w:ascii="Times New Roman" w:hAnsi="Times New Roman"/>
          <w:i/>
          <w:iCs/>
          <w:lang w:val="uk-UA"/>
        </w:rPr>
        <w:t xml:space="preserve">, </w:t>
      </w:r>
      <w:r w:rsidRPr="00E36A0A">
        <w:rPr>
          <w:rFonts w:ascii="Times New Roman" w:hAnsi="Times New Roman"/>
          <w:lang w:val="en-US"/>
        </w:rPr>
        <w:t>833</w:t>
      </w:r>
      <w:r w:rsidRPr="00E36A0A">
        <w:rPr>
          <w:rFonts w:ascii="Times New Roman" w:hAnsi="Times New Roman"/>
          <w:lang w:val="uk-UA"/>
        </w:rPr>
        <w:t>, рр.</w:t>
      </w:r>
      <w:r w:rsidRPr="00E36A0A">
        <w:rPr>
          <w:rFonts w:ascii="Times New Roman" w:hAnsi="Times New Roman"/>
          <w:lang w:val="en-US"/>
        </w:rPr>
        <w:t xml:space="preserve"> 3-8. Available at: http://nbuv.gov.ua/UJRN/VNULPL_2015_833_3 (accessed </w:t>
      </w:r>
      <w:r w:rsidRPr="00E36A0A">
        <w:rPr>
          <w:rFonts w:ascii="Times New Roman" w:hAnsi="Times New Roman"/>
          <w:lang w:val="uk-UA"/>
        </w:rPr>
        <w:t>2</w:t>
      </w:r>
      <w:r w:rsidRPr="00E36A0A">
        <w:rPr>
          <w:rFonts w:ascii="Times New Roman" w:hAnsi="Times New Roman"/>
          <w:lang w:val="en-US"/>
        </w:rPr>
        <w:t>2 May 2022)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 Volianiuk, I. (20</w:t>
      </w:r>
      <w:r w:rsidRPr="00E36A0A">
        <w:rPr>
          <w:rFonts w:ascii="Times New Roman" w:hAnsi="Times New Roman"/>
          <w:lang w:val="uk-UA"/>
        </w:rPr>
        <w:t>17</w:t>
      </w:r>
      <w:r w:rsidRPr="00E36A0A">
        <w:rPr>
          <w:rFonts w:ascii="Times New Roman" w:hAnsi="Times New Roman"/>
          <w:lang w:val="en-US"/>
        </w:rPr>
        <w:t>).  Osoblyvosti bukhobliku v IT-kompaniiakh</w:t>
      </w:r>
      <w:r w:rsidRPr="00E36A0A">
        <w:rPr>
          <w:rFonts w:ascii="Times New Roman" w:hAnsi="Times New Roman"/>
          <w:lang w:val="uk-UA"/>
        </w:rPr>
        <w:t xml:space="preserve"> [Features of accounting in IT companies]</w:t>
      </w:r>
      <w:r w:rsidRPr="00E36A0A">
        <w:rPr>
          <w:rFonts w:ascii="Times New Roman" w:hAnsi="Times New Roman"/>
          <w:lang w:val="en-US"/>
        </w:rPr>
        <w:t xml:space="preserve">. </w:t>
      </w:r>
      <w:r w:rsidRPr="00E36A0A">
        <w:rPr>
          <w:rFonts w:ascii="Times New Roman" w:hAnsi="Times New Roman"/>
          <w:i/>
          <w:iCs/>
          <w:lang w:val="en-US"/>
        </w:rPr>
        <w:t>Visnyk. Ofitsiino pro podatky</w:t>
      </w:r>
      <w:r w:rsidRPr="00E36A0A">
        <w:rPr>
          <w:rFonts w:ascii="Times New Roman" w:hAnsi="Times New Roman"/>
          <w:i/>
          <w:iCs/>
          <w:lang w:val="uk-UA"/>
        </w:rPr>
        <w:t xml:space="preserve">, </w:t>
      </w:r>
      <w:r w:rsidRPr="00E36A0A">
        <w:rPr>
          <w:rFonts w:ascii="Times New Roman" w:hAnsi="Times New Roman"/>
          <w:lang w:val="en-US"/>
        </w:rPr>
        <w:t>12. Available at: http://www.visnuk.com.ua/uk/publication/100004441-osoblivosti-bukhobliku-v-it-kompaniyakh (accessed 1</w:t>
      </w:r>
      <w:r w:rsidRPr="00E36A0A">
        <w:rPr>
          <w:rFonts w:ascii="Times New Roman" w:hAnsi="Times New Roman"/>
          <w:lang w:val="uk-UA"/>
        </w:rPr>
        <w:t>9</w:t>
      </w:r>
      <w:r w:rsidRPr="00E36A0A">
        <w:rPr>
          <w:rFonts w:ascii="Times New Roman" w:hAnsi="Times New Roman"/>
          <w:lang w:val="en-US"/>
        </w:rPr>
        <w:t xml:space="preserve"> May 2022)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Hadzhyeva, E.Iu. (20</w:t>
      </w:r>
      <w:r w:rsidRPr="00E36A0A">
        <w:rPr>
          <w:rFonts w:ascii="Times New Roman" w:hAnsi="Times New Roman"/>
          <w:lang w:val="uk-UA"/>
        </w:rPr>
        <w:t>18</w:t>
      </w:r>
      <w:r w:rsidRPr="00E36A0A">
        <w:rPr>
          <w:rFonts w:ascii="Times New Roman" w:hAnsi="Times New Roman"/>
          <w:lang w:val="en-US"/>
        </w:rPr>
        <w:t>).  Autsorsynh v IT-tekhnolohyiakh</w:t>
      </w:r>
      <w:r w:rsidRPr="00E36A0A">
        <w:rPr>
          <w:rFonts w:ascii="Times New Roman" w:hAnsi="Times New Roman"/>
          <w:lang w:val="uk-UA"/>
        </w:rPr>
        <w:t xml:space="preserve"> [Outsourcing in IT technologies]</w:t>
      </w:r>
      <w:r w:rsidRPr="00E36A0A">
        <w:rPr>
          <w:rFonts w:ascii="Times New Roman" w:hAnsi="Times New Roman"/>
          <w:lang w:val="en-US"/>
        </w:rPr>
        <w:t xml:space="preserve">. </w:t>
      </w:r>
      <w:r w:rsidRPr="00E36A0A">
        <w:rPr>
          <w:rFonts w:ascii="Times New Roman" w:hAnsi="Times New Roman"/>
          <w:i/>
          <w:iCs/>
          <w:lang w:val="en-US"/>
        </w:rPr>
        <w:t>Nauchnii vestnyk YuYM</w:t>
      </w:r>
      <w:r w:rsidRPr="00E36A0A">
        <w:rPr>
          <w:rFonts w:ascii="Times New Roman" w:hAnsi="Times New Roman"/>
          <w:lang w:val="en-US"/>
        </w:rPr>
        <w:t xml:space="preserve">. 2018. № 1. S. 35-37.  Available at: https://cyberleninka.ru/article/n/autsorsing-v-it-tehnologiyah/viewer (accessed </w:t>
      </w:r>
      <w:r w:rsidRPr="00E36A0A">
        <w:rPr>
          <w:rFonts w:ascii="Times New Roman" w:hAnsi="Times New Roman"/>
          <w:lang w:val="uk-UA"/>
        </w:rPr>
        <w:t>25</w:t>
      </w:r>
      <w:r w:rsidRPr="00E36A0A">
        <w:rPr>
          <w:rFonts w:ascii="Times New Roman" w:hAnsi="Times New Roman"/>
          <w:lang w:val="en-US"/>
        </w:rPr>
        <w:t xml:space="preserve"> May 2022) </w:t>
      </w:r>
      <w:r w:rsidRPr="00E36A0A">
        <w:rPr>
          <w:rFonts w:ascii="Times New Roman" w:hAnsi="Times New Roman"/>
          <w:lang w:val="uk-UA"/>
        </w:rPr>
        <w:t xml:space="preserve"> [in </w:t>
      </w:r>
      <w:r w:rsidRPr="00E36A0A">
        <w:rPr>
          <w:rFonts w:ascii="Times New Roman" w:hAnsi="Times New Roman"/>
          <w:lang w:val="en-US"/>
        </w:rPr>
        <w:t>Russi</w:t>
      </w:r>
      <w:r w:rsidRPr="00E36A0A">
        <w:rPr>
          <w:rFonts w:ascii="Times New Roman" w:hAnsi="Times New Roman"/>
          <w:lang w:val="uk-UA"/>
        </w:rPr>
        <w:t>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Gig contracts. What it is? What are the conditions and features of such contracts? (2022). </w:t>
      </w:r>
      <w:r w:rsidRPr="00E36A0A">
        <w:rPr>
          <w:rFonts w:ascii="Times New Roman" w:hAnsi="Times New Roman"/>
          <w:i/>
          <w:iCs/>
          <w:lang w:val="en-US"/>
        </w:rPr>
        <w:t>Ligazakon.</w:t>
      </w:r>
      <w:r w:rsidRPr="00E36A0A">
        <w:rPr>
          <w:rFonts w:ascii="Times New Roman" w:hAnsi="Times New Roman"/>
          <w:lang w:val="en-US"/>
        </w:rPr>
        <w:t xml:space="preserve"> Available at: </w:t>
      </w:r>
      <w:hyperlink r:id="rId10" w:history="1">
        <w:r w:rsidRPr="00E36A0A">
          <w:rPr>
            <w:rFonts w:ascii="Times New Roman" w:hAnsi="Times New Roman"/>
            <w:lang w:val="en-US"/>
          </w:rPr>
          <w:t>https://biz.ligazakon.net/news/205724_gg-kontrakti-shcho-tse-take-yak-umovi-ta-</w:t>
        </w:r>
        <w:r w:rsidRPr="00E36A0A">
          <w:rPr>
            <w:rFonts w:ascii="Times New Roman" w:hAnsi="Times New Roman"/>
            <w:lang w:val="en-US"/>
          </w:rPr>
          <w:lastRenderedPageBreak/>
          <w:t>osoblivost-takikh-kontraktv</w:t>
        </w:r>
      </w:hyperlink>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Holovne upravlinnia statystyky u Zakarpatskii oblasti. Kilkist zareiestrovanykh yurydychnykh osib za vydamy ekonomichnoi diialnosti [Online]. Available at:  </w:t>
      </w:r>
      <w:hyperlink r:id="rId11" w:history="1">
        <w:r w:rsidRPr="00E36A0A">
          <w:rPr>
            <w:rFonts w:ascii="Times New Roman" w:hAnsi="Times New Roman"/>
            <w:lang w:val="en-US"/>
          </w:rPr>
          <w:t>http://www.uz.ukrstat.gov.ua/statinfo/edrpou/2022/edrpou_econ_0101_2022.pdf</w:t>
        </w:r>
      </w:hyperlink>
      <w:r w:rsidRPr="00E36A0A">
        <w:rPr>
          <w:rFonts w:ascii="Times New Roman" w:hAnsi="Times New Roman"/>
          <w:lang w:val="en-US"/>
        </w:rPr>
        <w:t>)</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Dovbush, V.I. &amp; Puzyrova, P.V. (202</w:t>
      </w:r>
      <w:r w:rsidRPr="00E36A0A">
        <w:rPr>
          <w:rFonts w:ascii="Times New Roman" w:hAnsi="Times New Roman"/>
          <w:lang w:val="uk-UA"/>
        </w:rPr>
        <w:t>0</w:t>
      </w:r>
      <w:r w:rsidRPr="00E36A0A">
        <w:rPr>
          <w:rFonts w:ascii="Times New Roman" w:hAnsi="Times New Roman"/>
          <w:lang w:val="en-US"/>
        </w:rPr>
        <w:t>).  Znachennia IT-kompanii dlia ekonomiky Ukrainy ta yikh spetsyfika dlia tsilei bukhhalterskoho obliku</w:t>
      </w:r>
      <w:r w:rsidRPr="00E36A0A">
        <w:rPr>
          <w:rFonts w:ascii="Times New Roman" w:hAnsi="Times New Roman"/>
          <w:lang w:val="uk-UA"/>
        </w:rPr>
        <w:t xml:space="preserve"> [Importance of IT companies for the economy of Ukraine and their specifics for accounting purposes]. </w:t>
      </w:r>
      <w:r w:rsidRPr="00E36A0A">
        <w:rPr>
          <w:rFonts w:ascii="Times New Roman" w:hAnsi="Times New Roman"/>
          <w:i/>
          <w:iCs/>
          <w:lang w:val="en-US"/>
        </w:rPr>
        <w:t>Formuvannia rynkovykh vidnosyn v Ukraini</w:t>
      </w:r>
      <w:r w:rsidRPr="00E36A0A">
        <w:rPr>
          <w:rFonts w:ascii="Times New Roman" w:hAnsi="Times New Roman"/>
          <w:lang w:val="en-US"/>
        </w:rPr>
        <w:t>, 5(228), pp. 26-31. doi10.5281/zenodo.3937202</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Ivashchenko, H. A. (20</w:t>
      </w:r>
      <w:r w:rsidRPr="00E36A0A">
        <w:rPr>
          <w:rFonts w:ascii="Times New Roman" w:hAnsi="Times New Roman"/>
          <w:lang w:val="uk-UA"/>
        </w:rPr>
        <w:t>18</w:t>
      </w:r>
      <w:r w:rsidRPr="00E36A0A">
        <w:rPr>
          <w:rFonts w:ascii="Times New Roman" w:hAnsi="Times New Roman"/>
          <w:lang w:val="en-US"/>
        </w:rPr>
        <w:t>).  Oblikovo-analitychne zabezpechennia ekonomichnoi bezpeky</w:t>
      </w:r>
      <w:r w:rsidRPr="00E36A0A">
        <w:rPr>
          <w:rFonts w:ascii="Times New Roman" w:hAnsi="Times New Roman"/>
          <w:lang w:val="uk-UA"/>
        </w:rPr>
        <w:t xml:space="preserve"> [Accounting and analytical support of economic security].</w:t>
      </w:r>
      <w:r w:rsidRPr="00E36A0A">
        <w:rPr>
          <w:rFonts w:ascii="Times New Roman" w:hAnsi="Times New Roman"/>
          <w:lang w:val="en-US"/>
        </w:rPr>
        <w:t xml:space="preserve"> </w:t>
      </w:r>
      <w:r w:rsidRPr="00E36A0A">
        <w:rPr>
          <w:rFonts w:ascii="Times New Roman" w:hAnsi="Times New Roman"/>
          <w:i/>
          <w:iCs/>
          <w:lang w:val="en-US"/>
        </w:rPr>
        <w:t>Molodyi vchenyi</w:t>
      </w:r>
      <w:r w:rsidRPr="00E36A0A">
        <w:rPr>
          <w:rFonts w:ascii="Times New Roman" w:hAnsi="Times New Roman"/>
          <w:lang w:val="en-US"/>
        </w:rPr>
        <w:t>. 2018, 2(2), pp. 719-722</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Kemarska, L. H. (202</w:t>
      </w:r>
      <w:r w:rsidRPr="00E36A0A">
        <w:rPr>
          <w:rFonts w:ascii="Times New Roman" w:hAnsi="Times New Roman"/>
          <w:lang w:val="uk-UA"/>
        </w:rPr>
        <w:t>0</w:t>
      </w:r>
      <w:r w:rsidRPr="00E36A0A">
        <w:rPr>
          <w:rFonts w:ascii="Times New Roman" w:hAnsi="Times New Roman"/>
          <w:lang w:val="en-US"/>
        </w:rPr>
        <w:t>).  Rozvytok IT-sektoru v Ukraini: perspektyvy ta ryzyky, osoblyvosti opodatkuvannia ta obliku</w:t>
      </w:r>
      <w:r w:rsidRPr="00E36A0A">
        <w:rPr>
          <w:rFonts w:ascii="Times New Roman" w:hAnsi="Times New Roman"/>
          <w:lang w:val="uk-UA"/>
        </w:rPr>
        <w:t xml:space="preserve"> [Development of the IT sector in Ukraine: prospects and risks, features of taxation and accounting]. </w:t>
      </w:r>
      <w:r w:rsidRPr="00E36A0A">
        <w:rPr>
          <w:rFonts w:ascii="Times New Roman" w:hAnsi="Times New Roman"/>
          <w:i/>
          <w:iCs/>
          <w:lang w:val="en-US"/>
        </w:rPr>
        <w:t xml:space="preserve">Ekonomichnyi visnyk Dniprovskoho derzhavnoho tekhnichnoho universytetu, </w:t>
      </w:r>
      <w:r w:rsidRPr="00E36A0A">
        <w:rPr>
          <w:rFonts w:ascii="Times New Roman" w:hAnsi="Times New Roman"/>
          <w:lang w:val="en-US"/>
        </w:rPr>
        <w:t>1, pp. 104-114. Available at: http://nbuv.gov.ua/UJRN/evddtu_2020_1_15 (accessed 1</w:t>
      </w:r>
      <w:r w:rsidRPr="00E36A0A">
        <w:rPr>
          <w:rFonts w:ascii="Times New Roman" w:hAnsi="Times New Roman"/>
          <w:lang w:val="uk-UA"/>
        </w:rPr>
        <w:t>5</w:t>
      </w:r>
      <w:r w:rsidRPr="00E36A0A">
        <w:rPr>
          <w:rFonts w:ascii="Times New Roman" w:hAnsi="Times New Roman"/>
          <w:lang w:val="en-US"/>
        </w:rPr>
        <w:t xml:space="preserve"> May 2022)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 Klasyfikatsiia vydiv ekonomichnoi diialnosti DK 009:2010 [Online].   Available at: </w:t>
      </w:r>
      <w:hyperlink r:id="rId12" w:history="1">
        <w:r w:rsidRPr="00E36A0A">
          <w:rPr>
            <w:rFonts w:ascii="Times New Roman" w:hAnsi="Times New Roman"/>
            <w:lang w:val="en-US"/>
          </w:rPr>
          <w:t>http://kved.ukrstat.gov.ua/KVED2010/kv10_i.html</w:t>
        </w:r>
      </w:hyperlink>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Na Zakarpatti stvoryly svii IT-klaster [Online].  Available at:  </w:t>
      </w:r>
      <w:hyperlink r:id="rId13" w:history="1">
        <w:r w:rsidRPr="00E36A0A">
          <w:rPr>
            <w:rFonts w:ascii="Times New Roman" w:hAnsi="Times New Roman"/>
            <w:lang w:val="en-US"/>
          </w:rPr>
          <w:t>https://www.unian.ua/science/na-zakarpatti-stvorili-sviy-it-klaster-novini-11788152.html</w:t>
        </w:r>
      </w:hyperlink>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Opodatkuvannia IT-biznesu v Ukraini: shcho chekaie rezydentiv «Diia Siti»? [Online]. Available at:  http://www.visnuk.com.ua/uk/news/100025616-opodatkuvannya-it-biznesu-v-ukrayini-scho-chekaye-rezidentiv-diya-siti </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Tax Code of Ukraine: Law of Ukraine</w:t>
      </w:r>
      <w:r w:rsidRPr="00E36A0A">
        <w:rPr>
          <w:rFonts w:ascii="Times New Roman" w:hAnsi="Times New Roman"/>
          <w:lang w:val="uk-UA"/>
        </w:rPr>
        <w:t xml:space="preserve"> </w:t>
      </w:r>
      <w:r w:rsidRPr="00E36A0A">
        <w:rPr>
          <w:rFonts w:ascii="Times New Roman" w:hAnsi="Times New Roman"/>
          <w:lang w:val="en-US"/>
        </w:rPr>
        <w:t>№ 2755-VI (</w:t>
      </w:r>
      <w:r w:rsidRPr="00E36A0A">
        <w:rPr>
          <w:rFonts w:ascii="Times New Roman" w:hAnsi="Times New Roman"/>
          <w:lang w:val="uk-UA"/>
        </w:rPr>
        <w:t>2010</w:t>
      </w:r>
      <w:r w:rsidRPr="00E36A0A">
        <w:rPr>
          <w:rFonts w:ascii="Times New Roman" w:hAnsi="Times New Roman"/>
          <w:lang w:val="en-US"/>
        </w:rPr>
        <w:t xml:space="preserve">, December 15). Available at:  </w:t>
      </w:r>
      <w:hyperlink r:id="rId14" w:anchor="Text" w:history="1">
        <w:r w:rsidRPr="00E36A0A">
          <w:rPr>
            <w:rFonts w:ascii="Times New Roman" w:hAnsi="Times New Roman"/>
            <w:lang w:val="en-US"/>
          </w:rPr>
          <w:t>https://zakon.rada.gov.ua/laws/show/2755-17#Text</w:t>
        </w:r>
      </w:hyperlink>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On Amendments to the Tax Code of Ukraine to Stimulate the Development of the Digital Economy in Ukraine: Law of Ukraine № 2755-VI (2021, December 12).  Available at:  </w:t>
      </w:r>
      <w:hyperlink r:id="rId15" w:anchor="Text" w:history="1">
        <w:r w:rsidRPr="00E36A0A">
          <w:rPr>
            <w:rFonts w:ascii="Times New Roman" w:hAnsi="Times New Roman"/>
            <w:lang w:val="en-US"/>
          </w:rPr>
          <w:t>https://zakon.rada.gov.ua/laws/show/1946-20#Text</w:t>
        </w:r>
      </w:hyperlink>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 xml:space="preserve">About the National Informatization Program: Law of Ukraine № 74/98-ВР (1998, February 04). Available at:  https://zakon.rada.gov.ua/laws/show/74/98-%D0%B2%D1%80 </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uk-UA"/>
        </w:rPr>
        <w:t xml:space="preserve"> On stimulating the development of the digital economy in Ukraine</w:t>
      </w:r>
      <w:r w:rsidRPr="00E36A0A">
        <w:rPr>
          <w:rFonts w:ascii="Times New Roman" w:hAnsi="Times New Roman"/>
          <w:lang w:val="en-US"/>
        </w:rPr>
        <w:t xml:space="preserve">: Law of Ukraine № 1667-IX (2021, July 15).  Available at:  https://zakon.rada.gov.ua/laws/show/1667-20#Text </w:t>
      </w:r>
      <w:r w:rsidRPr="00E36A0A">
        <w:rPr>
          <w:rFonts w:ascii="Times New Roman" w:hAnsi="Times New Roman"/>
          <w:lang w:val="uk-UA"/>
        </w:rPr>
        <w:t xml:space="preserve"> [in Ukrainian].</w:t>
      </w:r>
    </w:p>
    <w:p w:rsidR="00584CFB" w:rsidRPr="00E36A0A" w:rsidRDefault="00584CFB" w:rsidP="00584CFB">
      <w:pPr>
        <w:widowControl w:val="0"/>
        <w:numPr>
          <w:ilvl w:val="0"/>
          <w:numId w:val="4"/>
        </w:numPr>
        <w:tabs>
          <w:tab w:val="left" w:pos="284"/>
          <w:tab w:val="left" w:pos="993"/>
        </w:tabs>
        <w:suppressAutoHyphens/>
        <w:ind w:left="0" w:firstLine="0"/>
        <w:jc w:val="both"/>
        <w:rPr>
          <w:rFonts w:ascii="Times New Roman" w:hAnsi="Times New Roman"/>
          <w:lang w:val="en-US"/>
        </w:rPr>
      </w:pPr>
      <w:r w:rsidRPr="00E36A0A">
        <w:rPr>
          <w:rFonts w:ascii="Times New Roman" w:hAnsi="Times New Roman"/>
          <w:lang w:val="en-US"/>
        </w:rPr>
        <w:t>Tymoshenko, A.O. (20</w:t>
      </w:r>
      <w:r w:rsidRPr="00E36A0A">
        <w:rPr>
          <w:rFonts w:ascii="Times New Roman" w:hAnsi="Times New Roman"/>
          <w:lang w:val="uk-UA"/>
        </w:rPr>
        <w:t>18</w:t>
      </w:r>
      <w:r w:rsidRPr="00E36A0A">
        <w:rPr>
          <w:rFonts w:ascii="Times New Roman" w:hAnsi="Times New Roman"/>
          <w:lang w:val="en-US"/>
        </w:rPr>
        <w:t>).  Opodatkuvannia posluh v IT-sferi: problemy ta perspektyvy</w:t>
      </w:r>
      <w:r w:rsidRPr="00E36A0A">
        <w:rPr>
          <w:rFonts w:ascii="Times New Roman" w:hAnsi="Times New Roman"/>
          <w:lang w:val="uk-UA"/>
        </w:rPr>
        <w:t xml:space="preserve"> [Taxation of IT services: problems and prospects]</w:t>
      </w:r>
      <w:r w:rsidRPr="00E36A0A">
        <w:rPr>
          <w:rFonts w:ascii="Times New Roman" w:hAnsi="Times New Roman"/>
          <w:lang w:val="en-US"/>
        </w:rPr>
        <w:t xml:space="preserve">. </w:t>
      </w:r>
      <w:r w:rsidRPr="00E36A0A">
        <w:rPr>
          <w:rFonts w:ascii="Times New Roman" w:hAnsi="Times New Roman"/>
          <w:i/>
          <w:iCs/>
          <w:lang w:val="en-US"/>
        </w:rPr>
        <w:t>Ekonomika ta derzhava</w:t>
      </w:r>
      <w:r w:rsidRPr="00E36A0A">
        <w:rPr>
          <w:rFonts w:ascii="Times New Roman" w:hAnsi="Times New Roman"/>
          <w:lang w:val="en-US"/>
        </w:rPr>
        <w:t>, 4, pp. 46-52</w:t>
      </w:r>
      <w:r w:rsidRPr="00E36A0A">
        <w:rPr>
          <w:rFonts w:ascii="Times New Roman" w:hAnsi="Times New Roman"/>
          <w:lang w:val="uk-UA"/>
        </w:rPr>
        <w:t xml:space="preserve"> [in Ukrainian].</w:t>
      </w:r>
    </w:p>
    <w:p w:rsidR="00584CFB" w:rsidRPr="00F00421" w:rsidRDefault="00584CFB" w:rsidP="00584CFB">
      <w:pPr>
        <w:tabs>
          <w:tab w:val="left" w:pos="284"/>
          <w:tab w:val="left" w:pos="993"/>
        </w:tabs>
        <w:jc w:val="both"/>
        <w:rPr>
          <w:rFonts w:ascii="Times New Roman" w:hAnsi="Times New Roman"/>
          <w:lang w:val="en-US"/>
        </w:rPr>
      </w:pPr>
    </w:p>
    <w:p w:rsidR="007033F1" w:rsidRDefault="007033F1" w:rsidP="00584CFB"/>
    <w:sectPr w:rsidR="007033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699" w:rsidRDefault="00427699" w:rsidP="00584CFB">
      <w:r>
        <w:separator/>
      </w:r>
    </w:p>
  </w:endnote>
  <w:endnote w:type="continuationSeparator" w:id="0">
    <w:p w:rsidR="00427699" w:rsidRDefault="00427699" w:rsidP="005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699" w:rsidRDefault="00427699" w:rsidP="00584CFB">
      <w:r>
        <w:separator/>
      </w:r>
    </w:p>
  </w:footnote>
  <w:footnote w:type="continuationSeparator" w:id="0">
    <w:p w:rsidR="00427699" w:rsidRDefault="00427699" w:rsidP="00584CFB">
      <w:r>
        <w:continuationSeparator/>
      </w:r>
    </w:p>
  </w:footnote>
  <w:footnote w:id="1">
    <w:p w:rsidR="00F308E9" w:rsidRPr="00584CFB" w:rsidRDefault="00F308E9" w:rsidP="00F308E9">
      <w:pPr>
        <w:pStyle w:val="Lbjegyzetszveg"/>
        <w:rPr>
          <w:lang w:val="uk-UA"/>
        </w:rPr>
      </w:pPr>
      <w:r w:rsidRPr="001A05C9">
        <w:rPr>
          <w:rStyle w:val="Lbjegyzet-hivatkozs"/>
          <w:color w:val="FFFFFF"/>
        </w:rPr>
        <w:footnoteRef/>
      </w:r>
      <w:r>
        <w:t xml:space="preserve"> </w:t>
      </w:r>
      <w:r w:rsidRPr="00C97947">
        <w:rPr>
          <w:vertAlign w:val="superscript"/>
        </w:rPr>
        <w:t>1</w:t>
      </w:r>
      <w:r w:rsidRPr="00C97947">
        <w:rPr>
          <w:rFonts w:ascii="Times New Roman" w:hAnsi="Times New Roman"/>
          <w:b/>
          <w:i/>
          <w:color w:val="222222"/>
          <w:sz w:val="18"/>
          <w:szCs w:val="18"/>
          <w:shd w:val="clear" w:color="auto" w:fill="FFFFFF"/>
        </w:rPr>
        <w:t>A folyóiratcikk a Pallas Athéné Domus Meriti Alapítvány támogatásával valósult meg</w:t>
      </w:r>
      <w:r>
        <w:rPr>
          <w:rFonts w:ascii="Times New Roman" w:hAnsi="Times New Roman"/>
          <w:b/>
          <w:i/>
          <w:color w:val="222222"/>
          <w:sz w:val="18"/>
          <w:szCs w:val="18"/>
          <w:shd w:val="clear" w:color="auto" w:fill="FFFFFF"/>
        </w:rPr>
        <w:t>.</w:t>
      </w:r>
    </w:p>
  </w:footnote>
  <w:footnote w:id="2">
    <w:p w:rsidR="00584CFB" w:rsidRPr="006B427D" w:rsidRDefault="00584CFB" w:rsidP="00584CFB">
      <w:pPr>
        <w:pStyle w:val="Lbjegyzetszveg"/>
        <w:rPr>
          <w:color w:val="FFFFFF"/>
          <w:lang w:val="en-US"/>
        </w:rPr>
      </w:pPr>
      <w:r w:rsidRPr="006B427D">
        <w:rPr>
          <w:rStyle w:val="Lbjegyzet-hivatkozs"/>
          <w:color w:val="FFFFFF"/>
        </w:rPr>
        <w:footnoteRef/>
      </w:r>
      <w:r w:rsidRPr="00593A1F">
        <w:rPr>
          <w:rStyle w:val="Lbjegyzet-hivatkozs"/>
          <w:sz w:val="30"/>
          <w:szCs w:val="30"/>
        </w:rPr>
        <w:t>©</w:t>
      </w:r>
      <w:r w:rsidRPr="00584CFB">
        <w:rPr>
          <w:rFonts w:ascii="Times New Roman" w:eastAsia="Times New Roman" w:hAnsi="Times New Roman"/>
          <w:b/>
          <w:color w:val="002060"/>
          <w:sz w:val="22"/>
          <w:szCs w:val="22"/>
          <w:lang w:val="uk-UA" w:eastAsia="ru-RU"/>
          <w14:shadow w14:blurRad="50800" w14:dist="38100" w14:dir="2700000" w14:sx="100000" w14:sy="100000" w14:kx="0" w14:ky="0" w14:algn="tl">
            <w14:srgbClr w14:val="000000">
              <w14:alpha w14:val="60000"/>
            </w14:srgbClr>
          </w14:shadow>
        </w:rPr>
        <w:t xml:space="preserve">G. Loszkorih, </w:t>
      </w:r>
      <w:r w:rsidRPr="00584CFB">
        <w:rPr>
          <w:rFonts w:ascii="Times New Roman" w:eastAsia="Times New Roman" w:hAnsi="Times New Roman"/>
          <w:b/>
          <w:color w:val="002060"/>
          <w:sz w:val="22"/>
          <w:szCs w:val="22"/>
          <w:lang w:val="en-US" w:eastAsia="ru-RU"/>
          <w14:shadow w14:blurRad="50800" w14:dist="38100" w14:dir="2700000" w14:sx="100000" w14:sy="100000" w14:kx="0" w14:ky="0" w14:algn="tl">
            <w14:srgbClr w14:val="000000">
              <w14:alpha w14:val="60000"/>
            </w14:srgbClr>
          </w14:shadow>
        </w:rPr>
        <w:t>O. </w:t>
      </w:r>
      <w:r w:rsidRPr="00584CFB">
        <w:rPr>
          <w:rFonts w:ascii="Times New Roman" w:eastAsia="Times New Roman" w:hAnsi="Times New Roman"/>
          <w:b/>
          <w:color w:val="002060"/>
          <w:sz w:val="22"/>
          <w:szCs w:val="22"/>
          <w:lang w:val="uk-UA" w:eastAsia="ru-RU"/>
          <w14:shadow w14:blurRad="50800" w14:dist="38100" w14:dir="2700000" w14:sx="100000" w14:sy="100000" w14:kx="0" w14:ky="0" w14:algn="tl">
            <w14:srgbClr w14:val="000000">
              <w14:alpha w14:val="60000"/>
            </w14:srgbClr>
          </w14:shadow>
        </w:rPr>
        <w:t>Pércsi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B62BF"/>
    <w:multiLevelType w:val="hybridMultilevel"/>
    <w:tmpl w:val="2AB0F980"/>
    <w:lvl w:ilvl="0" w:tplc="C9E60918">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176F5D"/>
    <w:multiLevelType w:val="hybridMultilevel"/>
    <w:tmpl w:val="17767FA8"/>
    <w:lvl w:ilvl="0" w:tplc="B1022C9E">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2314342"/>
    <w:multiLevelType w:val="hybridMultilevel"/>
    <w:tmpl w:val="5CAA7440"/>
    <w:lvl w:ilvl="0" w:tplc="E92283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C862151"/>
    <w:multiLevelType w:val="hybridMultilevel"/>
    <w:tmpl w:val="AF502E38"/>
    <w:lvl w:ilvl="0" w:tplc="0419000F">
      <w:start w:val="1"/>
      <w:numFmt w:val="decimal"/>
      <w:lvlText w:val="%1."/>
      <w:lvlJc w:val="left"/>
      <w:pPr>
        <w:ind w:left="8441"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B264569"/>
    <w:multiLevelType w:val="hybridMultilevel"/>
    <w:tmpl w:val="2A76715E"/>
    <w:lvl w:ilvl="0" w:tplc="83C6C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FB"/>
    <w:rsid w:val="00427699"/>
    <w:rsid w:val="00584CFB"/>
    <w:rsid w:val="007033F1"/>
    <w:rsid w:val="009645C7"/>
    <w:rsid w:val="00F308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923B"/>
  <w15:chartTrackingRefBased/>
  <w15:docId w15:val="{0FAB7465-606A-4BDF-95B7-6C411E6A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84CFB"/>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584CFB"/>
    <w:rPr>
      <w:color w:val="0000FF"/>
      <w:u w:val="single"/>
    </w:rPr>
  </w:style>
  <w:style w:type="paragraph" w:styleId="Lbjegyzetszveg">
    <w:name w:val="footnote text"/>
    <w:basedOn w:val="Norml"/>
    <w:link w:val="LbjegyzetszvegChar"/>
    <w:uiPriority w:val="99"/>
    <w:unhideWhenUsed/>
    <w:rsid w:val="00584CFB"/>
    <w:rPr>
      <w:sz w:val="20"/>
      <w:szCs w:val="20"/>
    </w:rPr>
  </w:style>
  <w:style w:type="character" w:customStyle="1" w:styleId="LbjegyzetszvegChar">
    <w:name w:val="Lábjegyzetszöveg Char"/>
    <w:basedOn w:val="Bekezdsalapbettpusa"/>
    <w:link w:val="Lbjegyzetszveg"/>
    <w:uiPriority w:val="99"/>
    <w:rsid w:val="00584CFB"/>
    <w:rPr>
      <w:rFonts w:ascii="Calibri" w:eastAsia="Calibri" w:hAnsi="Calibri" w:cs="Times New Roman"/>
      <w:sz w:val="20"/>
      <w:szCs w:val="20"/>
    </w:rPr>
  </w:style>
  <w:style w:type="character" w:styleId="Lbjegyzet-hivatkozs">
    <w:name w:val="footnote reference"/>
    <w:uiPriority w:val="99"/>
    <w:semiHidden/>
    <w:unhideWhenUsed/>
    <w:rsid w:val="00584CFB"/>
    <w:rPr>
      <w:vertAlign w:val="superscript"/>
    </w:rPr>
  </w:style>
  <w:style w:type="paragraph" w:styleId="Vgjegyzetszvege">
    <w:name w:val="endnote text"/>
    <w:basedOn w:val="Norml"/>
    <w:link w:val="VgjegyzetszvegeChar"/>
    <w:uiPriority w:val="99"/>
    <w:semiHidden/>
    <w:unhideWhenUsed/>
    <w:rsid w:val="00584CFB"/>
    <w:rPr>
      <w:sz w:val="20"/>
      <w:szCs w:val="20"/>
    </w:rPr>
  </w:style>
  <w:style w:type="character" w:customStyle="1" w:styleId="VgjegyzetszvegeChar">
    <w:name w:val="Végjegyzet szövege Char"/>
    <w:basedOn w:val="Bekezdsalapbettpusa"/>
    <w:link w:val="Vgjegyzetszvege"/>
    <w:uiPriority w:val="99"/>
    <w:semiHidden/>
    <w:rsid w:val="00584CFB"/>
    <w:rPr>
      <w:rFonts w:ascii="Calibri" w:eastAsia="Calibri" w:hAnsi="Calibri" w:cs="Times New Roman"/>
      <w:sz w:val="20"/>
      <w:szCs w:val="20"/>
    </w:rPr>
  </w:style>
  <w:style w:type="character" w:styleId="Vgjegyzet-hivatkozs">
    <w:name w:val="endnote reference"/>
    <w:basedOn w:val="Bekezdsalapbettpusa"/>
    <w:uiPriority w:val="99"/>
    <w:semiHidden/>
    <w:unhideWhenUsed/>
    <w:rsid w:val="00584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23/2786-6742/2022-1-284-296" TargetMode="External"/><Relationship Id="rId13" Type="http://schemas.openxmlformats.org/officeDocument/2006/relationships/hyperlink" Target="https://www.unian.ua/science/na-zakarpatti-stvorili-sviy-it-klaster-novini-1178815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ved.ukrstat.gov.ua/KVED2010/kv10_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ukrstat.gov.ua/statinfo/edrpou/2022/edrpou_econ_0101_2022.pdf" TargetMode="External"/><Relationship Id="rId5" Type="http://schemas.openxmlformats.org/officeDocument/2006/relationships/webSettings" Target="webSettings.xml"/><Relationship Id="rId15" Type="http://schemas.openxmlformats.org/officeDocument/2006/relationships/hyperlink" Target="https://zakon.rada.gov.ua/laws/show/1946-20" TargetMode="External"/><Relationship Id="rId10" Type="http://schemas.openxmlformats.org/officeDocument/2006/relationships/hyperlink" Target="https://biz.ligazakon.net/news/205724_gg-kontrakti-shcho-tse-take-yak-umovi-ta-osoblivost-takikh-kontraktv"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zakon.rada.gov.ua/laws/show/2755-1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Munka1!$B$1</c:f>
              <c:strCache>
                <c:ptCount val="1"/>
                <c:pt idx="0">
                  <c:v>Oszlop1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0-463D-4ECC-8EA1-FADB4A27C88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63D-4ECC-8EA1-FADB4A27C88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463D-4ECC-8EA1-FADB4A27C88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63D-4ECC-8EA1-FADB4A27C88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463D-4ECC-8EA1-FADB4A27C88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63D-4ECC-8EA1-FADB4A27C88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463D-4ECC-8EA1-FADB4A27C88E}"/>
              </c:ext>
            </c:extLst>
          </c:dPt>
          <c:dLbls>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ctr"/>
            <c:showLegendKey val="0"/>
            <c:showVal val="0"/>
            <c:showCatName val="0"/>
            <c:showSerName val="0"/>
            <c:showPercent val="1"/>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Munka1!$A$2:$A$8</c:f>
              <c:strCache>
                <c:ptCount val="7"/>
                <c:pt idx="0">
                  <c:v>NACE "62.01 Számítógépes programozási tevékenységek";</c:v>
                </c:pt>
                <c:pt idx="1">
                  <c:v>NACE "62.02 Tanácsadás informatizálással kapcsolatban";</c:v>
                </c:pt>
                <c:pt idx="2">
                  <c:v>NACE "62.09 Egyéb információtechnológiai és számítástechnikai szolgáltatás";</c:v>
                </c:pt>
                <c:pt idx="3">
                  <c:v>NACE "63.11 Adatfeldolgozás"</c:v>
                </c:pt>
                <c:pt idx="4">
                  <c:v>NACE "58.29 Más szoftverek kiadása";</c:v>
                </c:pt>
                <c:pt idx="5">
                  <c:v>NACE "63.12 Web portálok";</c:v>
                </c:pt>
                <c:pt idx="6">
                  <c:v>NACE "62.03 Számítógépes eszközök kezelésével kapcsolatos tevékenység".</c:v>
                </c:pt>
              </c:strCache>
            </c:strRef>
          </c:cat>
          <c:val>
            <c:numRef>
              <c:f>Munka1!$B$2:$B$8</c:f>
              <c:numCache>
                <c:formatCode>General</c:formatCode>
                <c:ptCount val="7"/>
                <c:pt idx="0">
                  <c:v>54</c:v>
                </c:pt>
                <c:pt idx="1">
                  <c:v>21</c:v>
                </c:pt>
                <c:pt idx="2">
                  <c:v>16</c:v>
                </c:pt>
                <c:pt idx="3">
                  <c:v>12</c:v>
                </c:pt>
                <c:pt idx="4">
                  <c:v>8</c:v>
                </c:pt>
                <c:pt idx="5">
                  <c:v>7</c:v>
                </c:pt>
                <c:pt idx="6">
                  <c:v>1</c:v>
                </c:pt>
              </c:numCache>
            </c:numRef>
          </c:val>
          <c:extLst>
            <c:ext xmlns:c16="http://schemas.microsoft.com/office/drawing/2014/chart" uri="{C3380CC4-5D6E-409C-BE32-E72D297353CC}">
              <c16:uniqueId val="{00000007-463D-4ECC-8EA1-FADB4A27C88E}"/>
            </c:ext>
          </c:extLst>
        </c:ser>
        <c:dLbls>
          <c:showLegendKey val="0"/>
          <c:showVal val="0"/>
          <c:showCatName val="0"/>
          <c:showSerName val="0"/>
          <c:showPercent val="0"/>
          <c:showBubbleSize val="0"/>
          <c:showLeaderLines val="1"/>
        </c:dLbls>
      </c:pie3DChart>
      <c:spPr>
        <a:noFill/>
        <a:ln w="25405">
          <a:noFill/>
        </a:ln>
      </c:spPr>
    </c:plotArea>
    <c:legend>
      <c:legendPos val="b"/>
      <c:overlay val="0"/>
      <c:spPr>
        <a:noFill/>
        <a:ln w="2539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C14D-29A9-45EC-9019-95EE24ED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1893</Words>
  <Characters>13062</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dc:creator>
  <cp:keywords/>
  <dc:description/>
  <cp:lastModifiedBy>Tanár</cp:lastModifiedBy>
  <cp:revision>2</cp:revision>
  <dcterms:created xsi:type="dcterms:W3CDTF">2023-04-01T15:16:00Z</dcterms:created>
  <dcterms:modified xsi:type="dcterms:W3CDTF">2023-04-01T15:25:00Z</dcterms:modified>
</cp:coreProperties>
</file>